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426"/>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435"/>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426"/>
        <w:rPr>
          <w:color w:val="000000"/>
          <w:highlight w:val="none"/>
        </w:rPr>
      </w:pPr>
      <w:r>
        <w:rPr>
          <w:color w:val="000000"/>
          <w:highlight w:val="none"/>
        </w:rPr>
      </w:r>
      <w:r/>
    </w:p>
    <w:p>
      <w:pPr>
        <w:pStyle w:val="1435"/>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427"/>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427"/>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427"/>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427"/>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东北塘实验小学北校区厨房设备采购项目</w:t>
      </w:r>
      <w:r/>
    </w:p>
    <w:p>
      <w:pPr>
        <w:jc w:val="left"/>
        <w:spacing w:line="360" w:lineRule="auto"/>
        <w:rPr>
          <w:rFonts w:hint="eastAsia" w:ascii="宋体" w:hAnsi="宋体" w:eastAsia="宋体" w:cs="宋体"/>
          <w:b/>
          <w:bCs/>
          <w:color w:val="000000"/>
          <w:spacing w:val="108"/>
          <w:sz w:val="32"/>
          <w:szCs w:val="32"/>
          <w:highlight w:val="none"/>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JSZC-320205-JZCG-G2025-0099</w:t>
      </w:r>
      <w:r/>
    </w:p>
    <w:p>
      <w:pPr>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eastAsia="zh-CN"/>
        </w:rPr>
        <w:t xml:space="preserve">无锡市锡山区人民政府东北塘街道办事处</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二〇二五</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十二</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二十五</w:t>
      </w:r>
      <w:r>
        <w:rPr>
          <w:rFonts w:hint="eastAsia" w:ascii="宋体" w:hAnsi="宋体"/>
          <w:b/>
          <w:color w:val="000000"/>
          <w:sz w:val="40"/>
          <w:szCs w:val="40"/>
          <w:highlight w:val="none"/>
        </w:rPr>
        <w:t xml:space="preserve">日</w:t>
      </w:r>
      <w:r/>
    </w:p>
    <w:p>
      <w:pPr>
        <w:rPr>
          <w:rStyle w:val="1468"/>
          <w:rFonts w:eastAsia="黑体"/>
          <w:bCs/>
          <w:sz w:val="48"/>
          <w:highlight w:val="none"/>
        </w:rPr>
      </w:pPr>
      <w:r>
        <w:rPr>
          <w:rFonts w:eastAsia="黑体"/>
          <w:bCs/>
          <w:sz w:val="48"/>
          <w:highlight w:val="none"/>
        </w:rPr>
      </w:r>
      <w:r/>
    </w:p>
    <w:p>
      <w:pPr>
        <w:rPr>
          <w:rStyle w:val="1468"/>
          <w:rFonts w:eastAsia="黑体"/>
          <w:bCs/>
          <w:sz w:val="48"/>
          <w:highlight w:val="none"/>
        </w:rPr>
      </w:pPr>
      <w:r>
        <w:rPr>
          <w:rFonts w:eastAsia="黑体"/>
          <w:bCs/>
          <w:sz w:val="48"/>
          <w:highlight w:val="none"/>
        </w:rPr>
      </w:r>
      <w:r/>
    </w:p>
    <w:p>
      <w:pPr>
        <w:rPr>
          <w:rStyle w:val="1468"/>
          <w:rFonts w:eastAsia="黑体"/>
          <w:bCs/>
          <w:sz w:val="48"/>
          <w:highlight w:val="none"/>
        </w:rPr>
        <w:sectPr>
          <w:headerReference w:type="default" r:id="rId9"/>
          <w:footerReference w:type="default" r:id="rId18"/>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468"/>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426"/>
        <w:rPr>
          <w:color w:val="000000"/>
          <w:highlight w:val="none"/>
        </w:rPr>
      </w:pPr>
      <w:r>
        <w:rPr>
          <w:color w:val="000000"/>
          <w:highlight w:val="none"/>
        </w:rPr>
      </w:r>
      <w:r/>
    </w:p>
    <w:p>
      <w:pPr>
        <w:pStyle w:val="1448"/>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448"/>
        <w:rPr>
          <w:rFonts w:ascii="宋体" w:hAnsi="宋体" w:eastAsia="宋体"/>
          <w:bCs/>
          <w:color w:val="000000"/>
          <w:highlight w:val="none"/>
        </w:rPr>
      </w:pPr>
      <w:r>
        <w:rPr>
          <w:rFonts w:ascii="宋体" w:hAnsi="宋体" w:eastAsia="宋体"/>
          <w:bCs/>
          <w:color w:val="000000"/>
          <w:highlight w:val="none"/>
        </w:rPr>
      </w:r>
      <w:r/>
    </w:p>
    <w:p>
      <w:pPr>
        <w:pStyle w:val="1448"/>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448"/>
        <w:rPr>
          <w:rFonts w:ascii="宋体" w:hAnsi="宋体" w:eastAsia="宋体"/>
          <w:bCs/>
          <w:color w:val="000000"/>
          <w:highlight w:val="none"/>
        </w:rPr>
      </w:pPr>
      <w:r>
        <w:rPr>
          <w:rFonts w:ascii="宋体" w:hAnsi="宋体" w:eastAsia="宋体"/>
          <w:bCs/>
          <w:color w:val="000000"/>
          <w:highlight w:val="none"/>
        </w:rPr>
      </w:r>
      <w:r/>
    </w:p>
    <w:p>
      <w:pPr>
        <w:pStyle w:val="1448"/>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18</w:t>
      </w:r>
      <w:r/>
    </w:p>
    <w:p>
      <w:pPr>
        <w:pStyle w:val="1448"/>
        <w:rPr>
          <w:rFonts w:ascii="宋体" w:hAnsi="宋体" w:eastAsia="宋体"/>
          <w:bCs/>
          <w:color w:val="000000"/>
          <w:highlight w:val="none"/>
        </w:rPr>
      </w:pPr>
      <w:r>
        <w:rPr>
          <w:rFonts w:ascii="宋体" w:hAnsi="宋体" w:eastAsia="宋体"/>
          <w:bCs/>
          <w:color w:val="000000"/>
          <w:highlight w:val="none"/>
        </w:rPr>
      </w:r>
      <w:r/>
    </w:p>
    <w:p>
      <w:pPr>
        <w:pStyle w:val="1448"/>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53</w:t>
      </w:r>
      <w:r/>
    </w:p>
    <w:p>
      <w:pPr>
        <w:pStyle w:val="1448"/>
        <w:ind w:firstLine="320"/>
        <w:jc w:val="both"/>
        <w:rPr>
          <w:rFonts w:ascii="宋体" w:hAnsi="宋体" w:eastAsia="宋体"/>
          <w:bCs/>
          <w:color w:val="000000"/>
          <w:highlight w:val="none"/>
        </w:rPr>
      </w:pPr>
      <w:r>
        <w:rPr>
          <w:rFonts w:ascii="宋体" w:hAnsi="宋体" w:eastAsia="宋体"/>
          <w:bCs/>
          <w:color w:val="000000"/>
          <w:highlight w:val="none"/>
        </w:rPr>
      </w:r>
      <w:r/>
    </w:p>
    <w:p>
      <w:pPr>
        <w:pStyle w:val="1448"/>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69</w:t>
      </w:r>
      <w:r/>
    </w:p>
    <w:p>
      <w:pPr>
        <w:pStyle w:val="1426"/>
        <w:rPr>
          <w:color w:val="000000"/>
          <w:highlight w:val="none"/>
        </w:rPr>
      </w:pPr>
      <w:r>
        <w:rPr>
          <w:color w:val="000000"/>
          <w:highlight w:val="none"/>
        </w:rPr>
      </w:r>
      <w:r/>
    </w:p>
    <w:p>
      <w:pPr>
        <w:pStyle w:val="1448"/>
        <w:rPr>
          <w:rFonts w:ascii="宋体" w:hAnsi="宋体" w:eastAsia="宋体"/>
          <w:bCs/>
          <w:color w:val="000000"/>
          <w:highlight w:val="none"/>
        </w:rPr>
      </w:pPr>
      <w:r>
        <w:rPr>
          <w:rFonts w:ascii="宋体" w:hAnsi="宋体" w:eastAsia="宋体"/>
          <w:bCs/>
          <w:color w:val="000000"/>
          <w:highlight w:val="none"/>
        </w:rPr>
      </w:r>
      <w:r/>
    </w:p>
    <w:p>
      <w:pPr>
        <w:pStyle w:val="1448"/>
        <w:rPr>
          <w:rFonts w:ascii="宋体" w:hAnsi="宋体" w:eastAsia="宋体"/>
          <w:bCs/>
          <w:color w:val="000000"/>
          <w:highlight w:val="none"/>
        </w:rPr>
      </w:pPr>
      <w:r>
        <w:rPr>
          <w:rFonts w:ascii="宋体" w:hAnsi="宋体" w:eastAsia="宋体"/>
          <w:bCs/>
          <w:color w:val="000000"/>
          <w:highlight w:val="none"/>
        </w:rPr>
      </w:r>
      <w:r/>
    </w:p>
    <w:p>
      <w:pPr>
        <w:pStyle w:val="1448"/>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474"/>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226"/>
        <w:rPr>
          <w:rStyle w:val="1474"/>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无锡市锡山区人民政府东北塘街道办事处</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东北塘实验小学北校区厨房设备采购项目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东北塘实验小学北校区厨房设备采购项目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JSZC-320205-JZCG-G2025-0099</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226.5720</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226.2720</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contextualSpacing/>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ascii="宋体" w:hAnsi="宋体" w:eastAsia="宋体"/>
          <w:sz w:val="24"/>
          <w:szCs w:val="24"/>
          <w:highlight w:val="none"/>
        </w:rPr>
        <w:t xml:space="preserve">供货期</w:t>
      </w:r>
      <w:r>
        <w:rPr>
          <w:rFonts w:hint="eastAsia" w:ascii="宋体" w:hAnsi="宋体" w:eastAsia="宋体" w:cs="宋体"/>
          <w:color w:val="000000"/>
          <w:sz w:val="24"/>
          <w:szCs w:val="24"/>
          <w:highlight w:val="none"/>
        </w:rPr>
        <w:t xml:space="preserve">：合同签订生效后20日历天内交货并安装调试完毕，并保证满足合同质量要求及甲方正常使用需要；后续相关配套服务以甲方要求为准。</w:t>
      </w:r>
      <w:r/>
    </w:p>
    <w:p>
      <w:pPr>
        <w:contextualSpacing/>
        <w:ind w:firstLine="420"/>
        <w:spacing w:line="360" w:lineRule="auto"/>
        <w:rPr>
          <w:rFonts w:ascii="宋体" w:hAnsi="宋体" w:eastAsia="宋体"/>
          <w:sz w:val="24"/>
          <w:szCs w:val="24"/>
          <w:highlight w:val="none"/>
        </w:rPr>
      </w:pPr>
      <w:r>
        <w:rPr>
          <w:rFonts w:hint="eastAsia" w:ascii="宋体" w:hAnsi="宋体" w:eastAsia="宋体" w:cs="宋体"/>
          <w:color w:val="000000"/>
          <w:sz w:val="24"/>
          <w:szCs w:val="24"/>
          <w:highlight w:val="none"/>
        </w:rPr>
        <w:t xml:space="preserve">5.项目整体免费质保期：</w:t>
      </w:r>
      <w:r>
        <w:rPr>
          <w:rFonts w:hint="eastAsia" w:ascii="宋体" w:hAnsi="宋体" w:eastAsia="宋体"/>
          <w:sz w:val="24"/>
          <w:szCs w:val="24"/>
          <w:highlight w:val="none"/>
          <w:lang w:val="en-US" w:eastAsia="zh-CN"/>
        </w:rPr>
        <w:t xml:space="preserve">二</w:t>
      </w:r>
      <w:r>
        <w:rPr>
          <w:rFonts w:hint="eastAsia" w:ascii="宋体" w:hAnsi="宋体" w:eastAsia="宋体"/>
          <w:sz w:val="24"/>
          <w:szCs w:val="24"/>
          <w:highlight w:val="none"/>
        </w:rPr>
        <w:t xml:space="preserve">年</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自最终验收合格、交付使用之日起计算</w:t>
      </w:r>
      <w:r>
        <w:rPr>
          <w:rFonts w:ascii="宋体" w:hAnsi="宋体" w:eastAsia="宋体"/>
          <w:sz w:val="24"/>
          <w:szCs w:val="24"/>
          <w:highlight w:val="none"/>
        </w:rPr>
        <w:t xml:space="preserve">。</w:t>
      </w:r>
      <w:r/>
    </w:p>
    <w:p>
      <w:pPr>
        <w:contextualSpacing/>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6.质量标准：所供货物达到国家及行业标准，满足采购需求，并按照甲方要求安装调试到位。</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.采购方式：公开招标</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无锡市锡山区人民政府东北塘街道办事处</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.本项目标的所属行业：工业（制造业）。根据《中小企业划型标准规定》工信部</w:t>
      </w:r>
      <w:r>
        <w:rPr>
          <w:rFonts w:hint="eastAsia" w:ascii="宋体" w:hAnsi="宋体" w:eastAsia="宋体" w:cs="宋体"/>
          <w:bCs/>
          <w:color w:val="000000"/>
          <w:sz w:val="24"/>
          <w:szCs w:val="24"/>
          <w:highlight w:val="none"/>
        </w:rPr>
        <w:t xml:space="preserve">联企业[2011]300号规定，</w:t>
      </w:r>
      <w:r>
        <w:rPr>
          <w:rFonts w:hint="eastAsia" w:ascii="宋体" w:hAnsi="宋体" w:eastAsia="宋体" w:cs="宋体"/>
          <w:color w:val="000000"/>
          <w:sz w:val="24"/>
          <w:szCs w:val="24"/>
          <w:highlight w:val="none"/>
        </w:rPr>
        <w:t xml:space="preserve">工业（制造业）</w:t>
      </w:r>
      <w:r>
        <w:rPr>
          <w:rFonts w:hint="eastAsia" w:ascii="宋体" w:hAnsi="宋体" w:eastAsia="宋体" w:cs="宋体"/>
          <w:bCs/>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.本项目是否专门面向</w:t>
      </w:r>
      <w:r>
        <w:rPr>
          <w:rFonts w:hint="eastAsia" w:ascii="宋体" w:hAnsi="宋体" w:eastAsia="宋体" w:cs="宋体"/>
          <w:bCs/>
          <w:color w:val="000000"/>
          <w:sz w:val="24"/>
          <w:szCs w:val="24"/>
          <w:highlight w:val="none"/>
          <w:lang w:val="en-US" w:eastAsia="zh-CN"/>
        </w:rPr>
        <w:t xml:space="preserve">中</w:t>
      </w:r>
      <w:r>
        <w:rPr>
          <w:rFonts w:hint="eastAsia" w:ascii="宋体" w:hAnsi="宋体" w:eastAsia="宋体" w:cs="宋体"/>
          <w:bCs/>
          <w:color w:val="000000"/>
          <w:sz w:val="24"/>
          <w:szCs w:val="24"/>
          <w:highlight w:val="none"/>
        </w:rPr>
        <w:t xml:space="preserve">小微企业：</w:t>
      </w:r>
      <w:r>
        <w:rPr>
          <w:rFonts w:hint="eastAsia" w:ascii="宋体" w:hAnsi="宋体" w:eastAsia="宋体" w:cs="宋体"/>
          <w:bCs/>
          <w:color w:val="000000"/>
          <w:sz w:val="24"/>
          <w:szCs w:val="24"/>
          <w:highlight w:val="none"/>
          <w:lang w:val="en-US" w:eastAsia="zh-CN"/>
        </w:rPr>
        <w:t xml:space="preserve">是</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3.落实政府采购政策需满足的资格要求：供应商为中型企业/小型企业/微型企业（监狱企业、残疾人福利性单位视同小微企业）；</w:t>
      </w:r>
      <w:r/>
    </w:p>
    <w:p>
      <w:pPr>
        <w:ind w:firstLine="480"/>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2"/>
        <w:jc w:val="left"/>
        <w:keepLines w:val="0"/>
        <w:keepNext w:val="0"/>
        <w:pageBreakBefore w:val="0"/>
        <w:spacing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潜在供应商如确定投标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日</w:t>
      </w:r>
      <w:bookmarkStart w:id="31" w:name="_GoBack"/>
      <w:r/>
      <w:bookmarkEnd w:id="31"/>
      <w:r>
        <w:rPr>
          <w:rFonts w:hint="eastAsia" w:ascii="宋体" w:hAnsi="宋体" w:eastAsia="宋体" w:cs="宋体"/>
          <w:color w:val="000000" w:themeColor="text1"/>
          <w:sz w:val="24"/>
          <w:szCs w:val="24"/>
          <w:highlight w:val="none"/>
          <w14:textFill>
            <w14:solidFill>
              <w14:schemeClr w14:val="tx1"/>
            </w14:solidFill>
          </w14:textFill>
        </w:rPr>
        <w:t xml:space="preserve">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JSZC-320205-JZCG-G2025-0099</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无锡市锡山区人民政府东北塘街道办事处</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李梁</w:t>
      </w:r>
      <w:r/>
    </w:p>
    <w:p>
      <w:pPr>
        <w:pStyle w:val="1226"/>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话：0510-85582070</w:t>
      </w:r>
      <w:r/>
    </w:p>
    <w:p>
      <w:pPr>
        <w:pStyle w:val="1398"/>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2.供应商可在财政部门指定媒体发布的公告附件中</w:t>
      </w:r>
      <w:r>
        <w:rPr>
          <w:rFonts w:hint="eastAsia" w:ascii="宋体" w:hAnsi="宋体" w:eastAsia="宋体" w:cs="宋体"/>
          <w:bCs/>
          <w:color w:val="000000" w:themeColor="text1"/>
          <w:sz w:val="24"/>
          <w:szCs w:val="24"/>
          <w:highlight w:val="none"/>
          <w14:textFill>
            <w14:solidFill>
              <w14:schemeClr w14:val="tx1"/>
            </w14:solidFill>
          </w14:textFill>
        </w:rPr>
        <w:t xml:space="preserve">查看公开招标文件，但不视为依法获取招标文件的途径，如确定参加本次采购活动，必须在苏采云平台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529436263"/>
      <w:r/>
      <w:bookmarkStart w:id="11"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.提供第三章项目需求和有关要求需提供的相关证明材料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247"/>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评标委员会启动异常低价投标（响应）审查的情形和具体要求，包括：</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①投标（响应）报价低于采购项目预算50%的，即投标（响应）报价&lt;采购项目预算×50%；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②投标（响应）报价低于采购项目最高限价45%的，即投标（响应）报价&lt;采购项目最高限价×45%；</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③评标委员会认定的供应商报价过低、有可能影响产品质量或者不能诚信履约的其他情形。</w:t>
      </w:r>
      <w:r/>
    </w:p>
    <w:p>
      <w:pPr>
        <w:ind w:firstLine="48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pStyle w:val="1199"/>
        <w:rPr>
          <w:rFonts w:hint="eastAsia"/>
        </w:rPr>
      </w:pPr>
      <w:r>
        <w:rPr>
          <w:rFonts w:hint="eastAsia"/>
        </w:rPr>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194"/>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1194"/>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满足采购需求</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8</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0"/>
      <w:r/>
      <w:bookmarkStart w:id="18" w:name="_Toc112006921"/>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400"/>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r/>
    </w:p>
    <w:p>
      <w:pPr>
        <w:ind w:firstLine="480"/>
        <w:spacing w:after="5"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本项目为</w:t>
      </w:r>
      <w:r>
        <w:rPr>
          <w:rFonts w:hint="eastAsia" w:ascii="Times New Roman" w:hAnsi="Times New Roman" w:eastAsia="宋体" w:cs="Times New Roman"/>
          <w:sz w:val="24"/>
          <w:szCs w:val="24"/>
          <w:highlight w:val="none"/>
          <w:lang w:val="en-US" w:eastAsia="zh-CN"/>
        </w:rPr>
        <w:t xml:space="preserve">东北塘实验小学北校区厨房设备采购项目</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本项目中的</w:t>
      </w:r>
      <w:r>
        <w:rPr>
          <w:rFonts w:hint="eastAsia" w:ascii="宋体" w:hAnsi="宋体" w:eastAsia="宋体" w:cs="宋体"/>
          <w:b/>
          <w:bCs/>
          <w:sz w:val="24"/>
          <w:szCs w:val="24"/>
          <w:highlight w:val="none"/>
        </w:rPr>
        <w:t xml:space="preserve">核心产品为炊用燃气大锅灶（双头）</w:t>
      </w:r>
      <w:r>
        <w:rPr>
          <w:rFonts w:hint="eastAsia" w:ascii="宋体" w:hAnsi="宋体" w:eastAsia="宋体" w:cs="宋体"/>
          <w:sz w:val="24"/>
          <w:szCs w:val="24"/>
          <w:highlight w:val="none"/>
        </w:rPr>
        <w:t xml:space="preserve">。投标人所投内容必须满足以下要求，不得有负偏离</w:t>
      </w:r>
      <w:r>
        <w:rPr>
          <w:rFonts w:hint="eastAsia" w:ascii="宋体" w:hAnsi="宋体" w:eastAsia="宋体" w:cs="宋体"/>
          <w:sz w:val="24"/>
          <w:szCs w:val="24"/>
          <w:highlight w:val="none"/>
          <w:lang w:eastAsia="zh-CN"/>
        </w:rPr>
        <w:t xml:space="preserve">，若不满足视为无效投标文件，项目需求如下：</w:t>
      </w:r>
      <w:r/>
    </w:p>
    <w:p>
      <w:pPr>
        <w:numPr>
          <w:ilvl w:val="0"/>
          <w:numId w:val="3"/>
        </w:numPr>
        <w:spacing w:after="5"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标的明细表</w:t>
      </w:r>
      <w:r/>
    </w:p>
    <w:p>
      <w:pPr>
        <w:pStyle w:val="1708"/>
        <w:ind w:firstLine="480"/>
        <w:jc w:val="left"/>
        <w:spacing w:line="360" w:lineRule="auto"/>
        <w:tabs>
          <w:tab w:val="left" w:pos="1080" w:leader="none"/>
        </w:tabs>
        <w:rPr>
          <w:rFonts w:ascii="宋体" w:hAnsi="宋体" w:cs="宋体"/>
          <w:sz w:val="24"/>
          <w:szCs w:val="24"/>
          <w:highlight w:val="none"/>
        </w:rPr>
      </w:pPr>
      <w:r>
        <w:rPr>
          <w:rFonts w:hint="eastAsia" w:ascii="宋体" w:hAnsi="宋体" w:cs="宋体"/>
          <w:sz w:val="24"/>
          <w:szCs w:val="24"/>
          <w:highlight w:val="none"/>
          <w:lang w:bidi="ar"/>
        </w:rPr>
        <w:t xml:space="preserve">标的明细表</w:t>
      </w:r>
      <w:r>
        <w:rPr>
          <w:rFonts w:hint="eastAsia" w:ascii="宋体" w:hAnsi="宋体" w:cs="宋体"/>
          <w:sz w:val="24"/>
          <w:szCs w:val="24"/>
          <w:highlight w:val="none"/>
        </w:rPr>
        <w:t xml:space="preserve">：本项目为货物采购，其中货物采购标的及对应的中小企业划分标准所属行业如下表。</w:t>
      </w:r>
      <w:r/>
    </w:p>
    <w:tbl>
      <w:tblPr>
        <w:tblStyle w:val="12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4" w:type="dxa"/>
          <w:top w:w="40" w:type="dxa"/>
          <w:right w:w="64" w:type="dxa"/>
          <w:bottom w:w="40" w:type="dxa"/>
        </w:tblCellMar>
        <w:tblLook w:val="04A0" w:firstRow="1" w:lastRow="0" w:firstColumn="1" w:lastColumn="0" w:noHBand="0" w:noVBand="1"/>
      </w:tblPr>
      <w:tblGrid>
        <w:gridCol w:w="543"/>
        <w:gridCol w:w="2121"/>
        <w:gridCol w:w="1893"/>
        <w:gridCol w:w="988"/>
        <w:gridCol w:w="1752"/>
        <w:gridCol w:w="1620"/>
      </w:tblGrid>
      <w:tr>
        <w:trPr>
          <w:jc w:val="center"/>
          <w:trHeight w:val="0"/>
        </w:trPr>
        <w:tc>
          <w:tcPr>
            <w:tcW w:w="0" w:type="auto"/>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序号</w:t>
            </w:r>
            <w:r/>
          </w:p>
        </w:tc>
        <w:tc>
          <w:tcPr>
            <w:tcW w:w="2121" w:type="dxa"/>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名称</w:t>
            </w:r>
            <w:r/>
          </w:p>
        </w:tc>
        <w:tc>
          <w:tcPr>
            <w:tcW w:w="1893" w:type="dxa"/>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所属行业</w:t>
            </w:r>
            <w:r/>
          </w:p>
        </w:tc>
        <w:tc>
          <w:tcPr>
            <w:tcW w:w="988" w:type="dxa"/>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序号</w:t>
            </w:r>
            <w:r/>
          </w:p>
        </w:tc>
        <w:tc>
          <w:tcPr>
            <w:tcW w:w="1752" w:type="dxa"/>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名称</w:t>
            </w:r>
            <w:r/>
          </w:p>
        </w:tc>
        <w:tc>
          <w:tcPr>
            <w:tcW w:w="1620" w:type="dxa"/>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所属行业</w:t>
            </w:r>
            <w:r/>
          </w:p>
        </w:tc>
      </w:tr>
      <w:tr>
        <w:trPr>
          <w:jc w:val="center"/>
          <w:trHeight w:val="0"/>
        </w:trPr>
        <w:tc>
          <w:tcPr>
            <w:tcW w:w="0" w:type="auto"/>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w:t>
            </w:r>
            <w:r/>
          </w:p>
        </w:tc>
        <w:tc>
          <w:tcPr>
            <w:tcW w:w="2121" w:type="dxa"/>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t xml:space="preserve">双星盆台（斜背）</w:t>
            </w:r>
            <w:r/>
          </w:p>
        </w:tc>
        <w:tc>
          <w:tcPr>
            <w:tcW w:w="1893" w:type="dxa"/>
            <w:vAlign w:val="center"/>
            <w:textDirection w:val="lrTb"/>
            <w:noWrap w:val="false"/>
          </w:tcPr>
          <w:p>
            <w:pPr>
              <w:pStyle w:val="1221"/>
              <w:ind w:left="0" w:firstLine="0"/>
              <w:jc w:val="both"/>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40</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12格更衣柜</w:t>
            </w:r>
            <w:r/>
          </w:p>
        </w:tc>
        <w:tc>
          <w:tcPr>
            <w:tcW w:w="1620" w:type="dxa"/>
            <w:vAlign w:val="center"/>
            <w:textDirection w:val="lrTb"/>
            <w:noWrap w:val="false"/>
          </w:tcPr>
          <w:p>
            <w:pPr>
              <w:pStyle w:val="1221"/>
              <w:ind w:left="0" w:firstLine="0"/>
              <w:jc w:val="both"/>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w:t>
            </w:r>
            <w:r/>
          </w:p>
        </w:tc>
        <w:tc>
          <w:tcPr>
            <w:tcW w:w="2121" w:type="dxa"/>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t xml:space="preserve">双层带格栅工作台</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41</w:t>
            </w:r>
            <w:r/>
          </w:p>
        </w:tc>
        <w:tc>
          <w:tcPr>
            <w:shd w:val="clear" w:color="auto" w:fill="auto"/>
            <w:tcW w:w="1752" w:type="dxa"/>
            <w:vAlign w:val="center"/>
            <w:textDirection w:val="lrTb"/>
            <w:noWrap w:val="false"/>
          </w:tcPr>
          <w:p>
            <w:pPr>
              <w:pStyle w:val="1221"/>
              <w:ind w:left="0" w:firstLine="0"/>
              <w:jc w:val="center"/>
              <w:rPr>
                <w:rFonts w:hint="default"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双星洗手池带电子感应龙头</w:t>
            </w:r>
            <w:r/>
          </w:p>
        </w:tc>
        <w:tc>
          <w:tcPr>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w:t>
            </w:r>
            <w:r/>
          </w:p>
        </w:tc>
        <w:tc>
          <w:tcPr>
            <w:tcW w:w="2121" w:type="dxa"/>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rPr>
              <w:t xml:space="preserve">刀具消毒柜</w:t>
            </w:r>
            <w:r>
              <w:rPr>
                <w:rFonts w:hint="eastAsia" w:ascii="宋体" w:hAnsi="宋体" w:eastAsia="宋体" w:cs="宋体"/>
                <w:b w:val="0"/>
                <w:bCs/>
                <w:color w:val="auto"/>
                <w:sz w:val="21"/>
                <w:szCs w:val="21"/>
                <w:highlight w:val="none"/>
                <w:vertAlign w:val="baseline"/>
                <w:lang w:val="en-US" w:eastAsia="zh-CN"/>
              </w:rPr>
              <w:t xml:space="preserve">1</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42</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单通暖碟台（上掀门）2</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w:t>
            </w:r>
            <w:r/>
          </w:p>
        </w:tc>
        <w:tc>
          <w:tcPr>
            <w:tcW w:w="2121" w:type="dxa"/>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i w:val="0"/>
                <w:iCs w:val="0"/>
                <w:color w:val="auto"/>
                <w:sz w:val="21"/>
                <w:szCs w:val="21"/>
                <w:u w:val="none"/>
                <w:lang w:val="en-US" w:eastAsia="zh-CN" w:bidi="ar"/>
              </w:rPr>
              <w:t xml:space="preserve">单星杀鱼台连花洒龙头</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43</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学生餐桌</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w:t>
            </w:r>
            <w:r/>
          </w:p>
        </w:tc>
        <w:tc>
          <w:tcPr>
            <w:tcW w:w="2121" w:type="dxa"/>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i w:val="0"/>
                <w:iCs w:val="0"/>
                <w:color w:val="auto"/>
                <w:sz w:val="21"/>
                <w:szCs w:val="21"/>
                <w:u w:val="none"/>
                <w:lang w:val="en-US" w:eastAsia="zh-CN" w:bidi="ar"/>
              </w:rPr>
              <w:t xml:space="preserve">开水器带底座</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44</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四人餐桌椅</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w:t>
            </w:r>
            <w:r/>
          </w:p>
        </w:tc>
        <w:tc>
          <w:tcPr>
            <w:tcW w:w="2121" w:type="dxa"/>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i w:val="0"/>
                <w:iCs w:val="0"/>
                <w:color w:val="auto"/>
                <w:sz w:val="21"/>
                <w:szCs w:val="21"/>
                <w:u w:val="none"/>
                <w:lang w:val="en-US" w:eastAsia="zh-CN" w:bidi="ar"/>
              </w:rPr>
              <w:t xml:space="preserve">刀具消毒柜2</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45</w:t>
            </w:r>
            <w:r/>
          </w:p>
        </w:tc>
        <w:tc>
          <w:tcPr>
            <w:shd w:val="clear" w:color="auto" w:fill="auto"/>
            <w:tcW w:w="1752" w:type="dxa"/>
            <w:vAlign w:val="center"/>
            <w:textDirection w:val="lrTb"/>
            <w:noWrap w:val="false"/>
          </w:tcPr>
          <w:p>
            <w:pPr>
              <w:pStyle w:val="1221"/>
              <w:ind w:left="0" w:firstLine="0"/>
              <w:jc w:val="center"/>
              <w:rPr>
                <w:rFonts w:hint="default"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洗手池(方脚直背）</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7</w:t>
            </w:r>
            <w:r/>
          </w:p>
        </w:tc>
        <w:tc>
          <w:tcPr>
            <w:tcW w:w="2121"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rPr>
            </w:pPr>
            <w:r>
              <w:rPr>
                <w:rFonts w:hint="eastAsia" w:ascii="宋体" w:hAnsi="宋体" w:eastAsia="宋体" w:cs="宋体"/>
                <w:b w:val="0"/>
                <w:bCs/>
                <w:i w:val="0"/>
                <w:iCs w:val="0"/>
                <w:color w:val="auto"/>
                <w:sz w:val="21"/>
                <w:szCs w:val="21"/>
                <w:u w:val="none"/>
                <w:lang w:val="en-US" w:eastAsia="zh-CN" w:bidi="ar"/>
              </w:rPr>
              <w:t xml:space="preserve">大单星盆台（斜背）1</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46</w:t>
            </w:r>
            <w:r/>
          </w:p>
        </w:tc>
        <w:tc>
          <w:tcPr>
            <w:shd w:val="clear" w:color="auto" w:fill="auto"/>
            <w:tcW w:w="1752" w:type="dxa"/>
            <w:vAlign w:val="center"/>
            <w:textDirection w:val="lrTb"/>
            <w:noWrap w:val="false"/>
          </w:tcPr>
          <w:p>
            <w:pPr>
              <w:pStyle w:val="1221"/>
              <w:ind w:left="0" w:firstLine="0"/>
              <w:jc w:val="center"/>
              <w:rPr>
                <w:rFonts w:hint="default"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双层圆角活动工作台</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8</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四门双温高身雪柜</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47</w:t>
            </w:r>
            <w:r/>
          </w:p>
        </w:tc>
        <w:tc>
          <w:tcPr>
            <w:shd w:val="clear" w:color="auto" w:fill="auto"/>
            <w:tcW w:w="1752" w:type="dxa"/>
            <w:vAlign w:val="center"/>
            <w:textDirection w:val="lrTb"/>
            <w:noWrap w:val="false"/>
          </w:tcPr>
          <w:p>
            <w:pPr>
              <w:pStyle w:val="1221"/>
              <w:ind w:left="0" w:firstLine="0"/>
              <w:jc w:val="center"/>
              <w:rPr>
                <w:rFonts w:hint="default"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大单星盆台（斜背）2</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9</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六门双温高身雪柜</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48</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长龙式洗碗机2</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10</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单孔污碟台(方脚斜背）</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49</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鼓泡预洗池2</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11</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落地式电子秤</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50</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方脚四层平板货架</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12</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多功能切菜机</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51</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移门碗碟柜</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13</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方脚四层孔板层架</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52</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后倾式高压柜式风机</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14</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米面架</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53</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低空油烟净化器</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15</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圆脚四层平板层架</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54</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低噪音高压柜式风机</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16</w:t>
            </w:r>
            <w:r/>
          </w:p>
        </w:tc>
        <w:tc>
          <w:tcPr>
            <w:tcW w:w="2121" w:type="dxa"/>
            <w:vAlign w:val="center"/>
            <w:textDirection w:val="lrTb"/>
            <w:noWrap w:val="false"/>
          </w:tcPr>
          <w:p>
            <w:pPr>
              <w:pStyle w:val="1221"/>
              <w:ind w:left="0" w:firstLine="0"/>
              <w:jc w:val="center"/>
              <w:rPr>
                <w:rFonts w:hint="default"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油烟净化一体机1</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55</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轴流风机</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17</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炊用燃气大锅灶（双头）</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56</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不锈钢管道1</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18</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炉拼台</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57</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
              </w:rPr>
              <w:suppressLineNumbers w:val="0"/>
            </w:pPr>
            <w:r>
              <w:rPr>
                <w:rFonts w:hint="eastAsia" w:ascii="宋体" w:hAnsi="宋体" w:eastAsia="宋体" w:cs="宋体"/>
                <w:b w:val="0"/>
                <w:bCs/>
                <w:i w:val="0"/>
                <w:iCs w:val="0"/>
                <w:color w:val="auto"/>
                <w:sz w:val="21"/>
                <w:szCs w:val="21"/>
                <w:u w:val="none"/>
                <w:lang w:val="en-US" w:eastAsia="zh-CN" w:bidi="ar"/>
              </w:rPr>
              <w:t xml:space="preserve">不锈钢管道2</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19</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双通打荷台</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58</w:t>
            </w:r>
            <w:r/>
          </w:p>
        </w:tc>
        <w:tc>
          <w:tcPr>
            <w:shd w:val="clear" w:color="auto" w:fill="auto"/>
            <w:tcW w:w="1752" w:type="dxa"/>
            <w:vAlign w:val="center"/>
            <w:textDirection w:val="lrTb"/>
            <w:noWrap w:val="false"/>
          </w:tcPr>
          <w:p>
            <w:pPr>
              <w:jc w:val="center"/>
              <w:keepLines w:val="0"/>
              <w:keepNext w:val="0"/>
              <w:widowControl/>
              <w:rPr>
                <w:rFonts w:hint="default" w:ascii="宋体" w:hAnsi="宋体" w:eastAsia="宋体" w:cs="宋体"/>
                <w:b w:val="0"/>
                <w:bCs/>
                <w:i w:val="0"/>
                <w:iCs w:val="0"/>
                <w:color w:val="auto"/>
                <w:sz w:val="21"/>
                <w:szCs w:val="21"/>
                <w:u w:val="none"/>
                <w:lang w:val="en-US" w:eastAsia="zh-CN" w:bidi="ar"/>
              </w:rPr>
              <w:suppressLineNumbers w:val="0"/>
            </w:pPr>
            <w:r>
              <w:rPr>
                <w:rFonts w:hint="eastAsia" w:ascii="宋体" w:hAnsi="宋体" w:eastAsia="宋体" w:cs="宋体"/>
                <w:b w:val="0"/>
                <w:bCs/>
                <w:i w:val="0"/>
                <w:iCs w:val="0"/>
                <w:color w:val="auto"/>
                <w:sz w:val="21"/>
                <w:szCs w:val="21"/>
                <w:u w:val="none"/>
                <w:lang w:val="en-US" w:eastAsia="zh-CN" w:bidi="ar"/>
              </w:rPr>
              <w:t xml:space="preserve">不锈钢管道3</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20</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燃气摇摆汤锅</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59</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
              </w:rPr>
              <w:suppressLineNumbers w:val="0"/>
            </w:pPr>
            <w:r>
              <w:rPr>
                <w:rFonts w:hint="eastAsia" w:ascii="宋体" w:hAnsi="宋体" w:eastAsia="宋体" w:cs="宋体"/>
                <w:b w:val="0"/>
                <w:bCs/>
                <w:i w:val="0"/>
                <w:iCs w:val="0"/>
                <w:color w:val="auto"/>
                <w:sz w:val="21"/>
                <w:szCs w:val="21"/>
                <w:u w:val="none"/>
                <w:lang w:val="en-US" w:eastAsia="zh-CN" w:bidi="ar"/>
              </w:rPr>
              <w:t xml:space="preserve">不锈钢管道4</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21</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油烟净化一体机2</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60</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
              </w:rPr>
              <w:suppressLineNumbers w:val="0"/>
            </w:pPr>
            <w:r>
              <w:rPr>
                <w:rFonts w:hint="eastAsia" w:ascii="宋体" w:hAnsi="宋体" w:eastAsia="宋体" w:cs="宋体"/>
                <w:b w:val="0"/>
                <w:bCs/>
                <w:i w:val="0"/>
                <w:iCs w:val="0"/>
                <w:color w:val="auto"/>
                <w:sz w:val="21"/>
                <w:szCs w:val="21"/>
                <w:u w:val="none"/>
                <w:lang w:val="en-US" w:eastAsia="zh-CN" w:bidi="ar"/>
              </w:rPr>
              <w:t xml:space="preserve">不锈钢管道5</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22</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双门双控蒸饭柜</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61</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
              </w:rPr>
              <w:suppressLineNumbers w:val="0"/>
            </w:pPr>
            <w:r>
              <w:rPr>
                <w:rFonts w:hint="eastAsia" w:ascii="宋体" w:hAnsi="宋体" w:eastAsia="宋体" w:cs="宋体"/>
                <w:b w:val="0"/>
                <w:bCs/>
                <w:i w:val="0"/>
                <w:iCs w:val="0"/>
                <w:color w:val="auto"/>
                <w:sz w:val="21"/>
                <w:szCs w:val="21"/>
                <w:u w:val="none"/>
                <w:lang w:val="en-US" w:eastAsia="zh-CN" w:bidi="ar"/>
              </w:rPr>
              <w:t xml:space="preserve">不锈钢管道6</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23</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靠墙型油网烟罩1</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62</w:t>
            </w:r>
            <w:r/>
          </w:p>
        </w:tc>
        <w:tc>
          <w:tcPr>
            <w:shd w:val="clear" w:color="auto" w:fill="auto"/>
            <w:tcW w:w="1752" w:type="dxa"/>
            <w:vAlign w:val="center"/>
            <w:textDirection w:val="lrTb"/>
            <w:noWrap w:val="false"/>
          </w:tcPr>
          <w:p>
            <w:pPr>
              <w:pStyle w:val="1221"/>
              <w:ind w:left="0" w:firstLine="0"/>
              <w:jc w:val="center"/>
              <w:rPr>
                <w:rFonts w:hint="default"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不锈钢弯头</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24</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靠墙型油网烟罩2</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63</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不锈钢变径</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25</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大单星盆台</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64</w:t>
            </w:r>
            <w:r/>
          </w:p>
        </w:tc>
        <w:tc>
          <w:tcPr>
            <w:shd w:val="clear" w:color="auto" w:fill="auto"/>
            <w:tcW w:w="1752" w:type="dxa"/>
            <w:vAlign w:val="center"/>
            <w:textDirection w:val="lrTb"/>
            <w:noWrap w:val="false"/>
          </w:tcPr>
          <w:p>
            <w:pPr>
              <w:pStyle w:val="1221"/>
              <w:ind w:left="0" w:firstLine="0"/>
              <w:jc w:val="center"/>
              <w:rPr>
                <w:rFonts w:hint="default"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软连接</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26</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color w:val="auto"/>
                <w:spacing w:val="0"/>
                <w:sz w:val="21"/>
                <w:szCs w:val="21"/>
                <w:highlight w:val="none"/>
                <w:vertAlign w:val="baseline"/>
                <w:lang w:val="en-US" w:eastAsia="zh-CN" w:bidi="ar-SA"/>
              </w:rPr>
            </w:pPr>
            <w:r>
              <w:rPr>
                <w:rFonts w:hint="eastAsia" w:ascii="宋体" w:hAnsi="宋体" w:eastAsia="宋体" w:cs="宋体"/>
                <w:b w:val="0"/>
                <w:bCs/>
                <w:i w:val="0"/>
                <w:iCs w:val="0"/>
                <w:color w:val="auto"/>
                <w:sz w:val="21"/>
                <w:szCs w:val="21"/>
                <w:u w:val="none"/>
                <w:lang w:val="en-US" w:eastAsia="zh-CN" w:bidi="ar"/>
              </w:rPr>
              <w:t xml:space="preserve">圆形泡菜池</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65</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减震器</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27</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color w:val="auto"/>
                <w:spacing w:val="0"/>
                <w:sz w:val="21"/>
                <w:szCs w:val="21"/>
                <w:highlight w:val="none"/>
                <w:vertAlign w:val="baseline"/>
                <w:lang w:val="en-US" w:eastAsia="zh-CN" w:bidi="ar-SA"/>
              </w:rPr>
            </w:pPr>
            <w:r>
              <w:rPr>
                <w:rFonts w:hint="eastAsia" w:ascii="宋体" w:hAnsi="宋体" w:eastAsia="宋体" w:cs="宋体"/>
                <w:b w:val="0"/>
                <w:bCs/>
                <w:i w:val="0"/>
                <w:iCs w:val="0"/>
                <w:color w:val="auto"/>
                <w:sz w:val="21"/>
                <w:szCs w:val="21"/>
                <w:u w:val="none"/>
                <w:lang w:val="en-US" w:eastAsia="zh-CN" w:bidi="ar"/>
              </w:rPr>
              <w:t xml:space="preserve">单通暖碟台（上掀门）1</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66</w:t>
            </w:r>
            <w:r/>
          </w:p>
        </w:tc>
        <w:tc>
          <w:tcPr>
            <w:shd w:val="clear" w:color="auto" w:fill="auto"/>
            <w:tcW w:w="1752"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角铁法兰</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28</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color w:val="auto"/>
                <w:spacing w:val="0"/>
                <w:sz w:val="21"/>
                <w:szCs w:val="21"/>
                <w:highlight w:val="none"/>
                <w:vertAlign w:val="baseline"/>
                <w:lang w:val="en-US" w:eastAsia="zh-CN" w:bidi="ar-SA"/>
              </w:rPr>
            </w:pPr>
            <w:r>
              <w:rPr>
                <w:rFonts w:hint="eastAsia" w:ascii="宋体" w:hAnsi="宋体" w:eastAsia="宋体" w:cs="宋体"/>
                <w:b w:val="0"/>
                <w:bCs/>
                <w:i w:val="0"/>
                <w:iCs w:val="0"/>
                <w:color w:val="auto"/>
                <w:sz w:val="21"/>
                <w:szCs w:val="21"/>
                <w:u w:val="none"/>
                <w:lang w:val="en-US" w:eastAsia="zh-CN" w:bidi="ar"/>
              </w:rPr>
              <w:t xml:space="preserve">单门宴会保温车</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67</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b w:val="0"/>
                <w:bCs/>
                <w:i w:val="0"/>
                <w:iCs w:val="0"/>
                <w:color w:val="auto"/>
                <w:sz w:val="21"/>
                <w:szCs w:val="21"/>
                <w:u w:val="none"/>
                <w:lang w:val="en-US" w:eastAsia="zh-CN" w:bidi="ar"/>
              </w:rPr>
              <w:t xml:space="preserve">吊梗</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29</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color w:val="auto"/>
                <w:spacing w:val="0"/>
                <w:sz w:val="21"/>
                <w:szCs w:val="21"/>
                <w:highlight w:val="none"/>
                <w:vertAlign w:val="baseline"/>
                <w:lang w:val="en-US" w:eastAsia="zh-CN" w:bidi="ar-SA"/>
              </w:rPr>
            </w:pPr>
            <w:r>
              <w:rPr>
                <w:rFonts w:hint="eastAsia" w:ascii="宋体" w:hAnsi="宋体" w:eastAsia="宋体" w:cs="宋体"/>
                <w:b w:val="0"/>
                <w:bCs/>
                <w:i w:val="0"/>
                <w:iCs w:val="0"/>
                <w:color w:val="auto"/>
                <w:sz w:val="21"/>
                <w:szCs w:val="21"/>
                <w:u w:val="none"/>
                <w:lang w:val="en-US" w:eastAsia="zh-CN" w:bidi="ar"/>
              </w:rPr>
              <w:t xml:space="preserve">四格保温售饭台</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68</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b w:val="0"/>
                <w:bCs/>
                <w:i w:val="0"/>
                <w:iCs w:val="0"/>
                <w:color w:val="auto"/>
                <w:sz w:val="21"/>
                <w:szCs w:val="21"/>
                <w:u w:val="none"/>
                <w:lang w:val="en-US" w:eastAsia="zh-CN" w:bidi="ar"/>
              </w:rPr>
              <w:t xml:space="preserve">镀锌螺丝螺母</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30</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color w:val="auto"/>
                <w:spacing w:val="0"/>
                <w:sz w:val="21"/>
                <w:szCs w:val="21"/>
                <w:highlight w:val="none"/>
                <w:vertAlign w:val="baseline"/>
                <w:lang w:val="en-US" w:eastAsia="zh-CN" w:bidi="ar-SA"/>
              </w:rPr>
            </w:pPr>
            <w:r>
              <w:rPr>
                <w:rFonts w:hint="eastAsia" w:ascii="宋体" w:hAnsi="宋体" w:eastAsia="宋体" w:cs="宋体"/>
                <w:b w:val="0"/>
                <w:bCs/>
                <w:i w:val="0"/>
                <w:iCs w:val="0"/>
                <w:color w:val="auto"/>
                <w:sz w:val="21"/>
                <w:szCs w:val="21"/>
                <w:u w:val="none"/>
                <w:lang w:val="en-US" w:eastAsia="zh-CN" w:bidi="ar"/>
              </w:rPr>
              <w:t xml:space="preserve">双玻璃门展示柜</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69</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b w:val="0"/>
                <w:bCs/>
                <w:i w:val="0"/>
                <w:iCs w:val="0"/>
                <w:color w:val="auto"/>
                <w:sz w:val="21"/>
                <w:szCs w:val="21"/>
                <w:u w:val="none"/>
                <w:lang w:val="en-US" w:eastAsia="zh-CN" w:bidi="ar"/>
              </w:rPr>
              <w:t xml:space="preserve">硅胶密封条</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31</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color w:val="auto"/>
                <w:spacing w:val="0"/>
                <w:sz w:val="21"/>
                <w:szCs w:val="21"/>
                <w:highlight w:val="none"/>
                <w:vertAlign w:val="baseline"/>
                <w:lang w:val="en-US" w:eastAsia="zh-CN" w:bidi="ar-SA"/>
              </w:rPr>
            </w:pPr>
            <w:r>
              <w:rPr>
                <w:rFonts w:hint="eastAsia" w:ascii="宋体" w:hAnsi="宋体" w:eastAsia="宋体" w:cs="宋体"/>
                <w:b w:val="0"/>
                <w:bCs/>
                <w:i w:val="0"/>
                <w:iCs w:val="0"/>
                <w:color w:val="auto"/>
                <w:sz w:val="21"/>
                <w:szCs w:val="21"/>
                <w:u w:val="none"/>
                <w:lang w:val="en-US" w:eastAsia="zh-CN" w:bidi="ar"/>
              </w:rPr>
              <w:t xml:space="preserve">长龙式洗碗机1</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70</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b w:val="0"/>
                <w:bCs/>
                <w:i w:val="0"/>
                <w:iCs w:val="0"/>
                <w:color w:val="auto"/>
                <w:sz w:val="21"/>
                <w:szCs w:val="21"/>
                <w:u w:val="none"/>
                <w:lang w:val="en-US" w:eastAsia="zh-CN" w:bidi="ar"/>
              </w:rPr>
              <w:t xml:space="preserve">风机净化器支架</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32</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color w:val="auto"/>
                <w:spacing w:val="0"/>
                <w:sz w:val="21"/>
                <w:szCs w:val="21"/>
                <w:highlight w:val="none"/>
                <w:vertAlign w:val="baseline"/>
                <w:lang w:val="en-US" w:eastAsia="zh-CN" w:bidi="ar-SA"/>
              </w:rPr>
            </w:pPr>
            <w:r>
              <w:rPr>
                <w:rFonts w:hint="eastAsia" w:ascii="宋体" w:hAnsi="宋体" w:eastAsia="宋体" w:cs="宋体"/>
                <w:b w:val="0"/>
                <w:bCs/>
                <w:i w:val="0"/>
                <w:iCs w:val="0"/>
                <w:color w:val="auto"/>
                <w:sz w:val="21"/>
                <w:szCs w:val="21"/>
                <w:u w:val="none"/>
                <w:lang w:val="en-US" w:eastAsia="zh-CN" w:bidi="ar"/>
              </w:rPr>
              <w:t xml:space="preserve">洗碗机牛耳烟罩（方孔）</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71</w:t>
            </w:r>
            <w:r/>
          </w:p>
        </w:tc>
        <w:tc>
          <w:tcPr>
            <w:shd w:val="clear" w:color="auto" w:fill="auto"/>
            <w:tcW w:w="1752" w:type="dxa"/>
            <w:vAlign w:val="center"/>
            <w:textDirection w:val="lrTb"/>
            <w:noWrap w:val="false"/>
          </w:tcPr>
          <w:p>
            <w:pPr>
              <w:jc w:val="center"/>
              <w:keepLines w:val="0"/>
              <w:keepNext w:val="0"/>
              <w:widowControl/>
              <w:rPr>
                <w:rFonts w:hint="default"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风机启动保护器1</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33</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鼓泡预洗池1</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82</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b w:val="0"/>
                <w:bCs/>
                <w:i w:val="0"/>
                <w:iCs w:val="0"/>
                <w:color w:val="auto"/>
                <w:sz w:val="21"/>
                <w:szCs w:val="21"/>
                <w:u w:val="none"/>
                <w:lang w:val="en-US" w:eastAsia="zh-CN" w:bidi="ar"/>
              </w:rPr>
              <w:t xml:space="preserve">风机支架</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34</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双门消毒柜</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73</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风机启动保护器2</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35</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双星拖把池1</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74</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b w:val="0"/>
                <w:bCs/>
                <w:i w:val="0"/>
                <w:iCs w:val="0"/>
                <w:color w:val="auto"/>
                <w:sz w:val="21"/>
                <w:szCs w:val="21"/>
                <w:u w:val="none"/>
                <w:lang w:val="en-US" w:eastAsia="zh-CN" w:bidi="ar"/>
              </w:rPr>
              <w:t xml:space="preserve">平板推车</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36</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双星拖把池2</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75</w:t>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b w:val="0"/>
                <w:bCs/>
                <w:i w:val="0"/>
                <w:iCs w:val="0"/>
                <w:color w:val="auto"/>
                <w:sz w:val="21"/>
                <w:szCs w:val="21"/>
                <w:u w:val="none"/>
                <w:lang w:val="en-US" w:eastAsia="zh-CN" w:bidi="ar"/>
              </w:rPr>
              <w:t xml:space="preserve">汤车</w:t>
            </w:r>
            <w:r/>
          </w:p>
        </w:tc>
        <w:tc>
          <w:tcPr>
            <w:shd w:val="clear" w:color="auto" w:fill="auto"/>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lang w:val="en-US" w:eastAsia="zh-CN" w:bidi="ar-SA"/>
              </w:rPr>
            </w:pPr>
            <w:r>
              <w:rPr>
                <w:rFonts w:hint="eastAsia" w:ascii="宋体" w:hAnsi="宋体" w:eastAsia="宋体" w:cs="宋体"/>
                <w:b w:val="0"/>
                <w:bCs/>
                <w:color w:val="auto"/>
                <w:sz w:val="21"/>
                <w:szCs w:val="21"/>
                <w:highlight w:val="none"/>
                <w:vertAlign w:val="baseline"/>
                <w:lang w:val="en-US" w:eastAsia="zh-CN"/>
              </w:rPr>
              <w:t xml:space="preserve">工业（制造业）</w:t>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37</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六门更衣柜</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default" w:ascii="宋体" w:hAnsi="宋体" w:eastAsia="宋体" w:cs="宋体"/>
                <w:b w:val="0"/>
                <w:bCs/>
                <w:color w:val="auto"/>
                <w:sz w:val="21"/>
                <w:szCs w:val="21"/>
                <w:highlight w:val="none"/>
                <w:vertAlign w:val="baseline"/>
                <w:lang w:val="en-US" w:eastAsia="zh-CN"/>
              </w:rPr>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b w:val="0"/>
                <w:bCs/>
                <w:i w:val="0"/>
                <w:iCs w:val="0"/>
                <w:color w:val="auto"/>
                <w:sz w:val="21"/>
                <w:szCs w:val="21"/>
                <w:u w:val="none"/>
                <w:lang w:val="en-US" w:eastAsia="zh-CN" w:bidi="ar-SA"/>
              </w:rPr>
            </w:r>
            <w:r/>
          </w:p>
        </w:tc>
        <w:tc>
          <w:tcPr>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38</w:t>
            </w:r>
            <w:r/>
          </w:p>
        </w:tc>
        <w:tc>
          <w:tcPr>
            <w:shd w:val="clear" w:color="auto" w:fill="auto"/>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pacing w:val="0"/>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洗手星连电子感应龙头</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default" w:ascii="宋体" w:hAnsi="宋体" w:eastAsia="宋体" w:cs="宋体"/>
                <w:b w:val="0"/>
                <w:bCs/>
                <w:color w:val="auto"/>
                <w:sz w:val="21"/>
                <w:szCs w:val="21"/>
                <w:highlight w:val="none"/>
                <w:vertAlign w:val="baseline"/>
                <w:lang w:val="en-US" w:eastAsia="zh-CN"/>
              </w:rPr>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b w:val="0"/>
                <w:bCs/>
                <w:i w:val="0"/>
                <w:iCs w:val="0"/>
                <w:color w:val="auto"/>
                <w:sz w:val="21"/>
                <w:szCs w:val="21"/>
                <w:u w:val="none"/>
                <w:lang w:val="en-US" w:eastAsia="zh-CN" w:bidi="ar-SA"/>
              </w:rPr>
            </w:r>
            <w:r/>
          </w:p>
        </w:tc>
        <w:tc>
          <w:tcPr>
            <w:tcW w:w="1620"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r>
            <w:r/>
          </w:p>
        </w:tc>
      </w:tr>
      <w:tr>
        <w:trPr>
          <w:jc w:val="center"/>
          <w:trHeight w:val="0"/>
        </w:trPr>
        <w:tc>
          <w:tcPr>
            <w:tcW w:w="0" w:type="auto"/>
            <w:vAlign w:val="center"/>
            <w:textDirection w:val="lrTb"/>
            <w:noWrap w:val="false"/>
          </w:tcPr>
          <w:p>
            <w:pPr>
              <w:pStyle w:val="1221"/>
              <w:ind w:left="0" w:firstLine="0"/>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39</w:t>
            </w:r>
            <w:r/>
          </w:p>
        </w:tc>
        <w:tc>
          <w:tcPr>
            <w:tcW w:w="2121" w:type="dxa"/>
            <w:vAlign w:val="center"/>
            <w:textDirection w:val="lrTb"/>
            <w:noWrap w:val="false"/>
          </w:tcPr>
          <w:p>
            <w:pPr>
              <w:pStyle w:val="1221"/>
              <w:ind w:left="0" w:firstLine="0"/>
              <w:jc w:val="center"/>
              <w:rPr>
                <w:rFonts w:hint="eastAsia" w:ascii="宋体" w:hAnsi="宋体" w:eastAsia="宋体" w:cs="宋体"/>
                <w:b w:val="0"/>
                <w:bCs/>
                <w:i w:val="0"/>
                <w:iCs w:val="0"/>
                <w:color w:val="auto"/>
                <w:sz w:val="21"/>
                <w:szCs w:val="21"/>
                <w:u w:val="none"/>
                <w:lang w:val="en-US" w:eastAsia="zh-CN" w:bidi="ar"/>
              </w:rPr>
            </w:pPr>
            <w:r>
              <w:rPr>
                <w:rFonts w:hint="eastAsia" w:ascii="宋体" w:hAnsi="宋体" w:eastAsia="宋体" w:cs="宋体"/>
                <w:b w:val="0"/>
                <w:bCs/>
                <w:i w:val="0"/>
                <w:iCs w:val="0"/>
                <w:color w:val="auto"/>
                <w:sz w:val="21"/>
                <w:szCs w:val="21"/>
                <w:u w:val="none"/>
                <w:lang w:val="en-US" w:eastAsia="zh-CN" w:bidi="ar"/>
              </w:rPr>
              <w:t xml:space="preserve">8格更衣柜</w:t>
            </w:r>
            <w:r/>
          </w:p>
        </w:tc>
        <w:tc>
          <w:tcPr>
            <w:tcW w:w="1893" w:type="dxa"/>
            <w:vAlign w:val="center"/>
            <w:textDirection w:val="lrTb"/>
            <w:noWrap w:val="false"/>
          </w:tcPr>
          <w:p>
            <w:pPr>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lang w:val="en-US" w:eastAsia="zh-CN"/>
              </w:rPr>
              <w:t xml:space="preserve">工业（制造业）</w:t>
            </w:r>
            <w:r/>
          </w:p>
        </w:tc>
        <w:tc>
          <w:tcPr>
            <w:tcW w:w="988" w:type="dxa"/>
            <w:vAlign w:val="center"/>
            <w:textDirection w:val="lrTb"/>
            <w:noWrap w:val="false"/>
          </w:tcPr>
          <w:p>
            <w:pPr>
              <w:pStyle w:val="1221"/>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r>
            <w:r/>
          </w:p>
        </w:tc>
        <w:tc>
          <w:tcPr>
            <w:shd w:val="clear" w:color="auto" w:fill="auto"/>
            <w:tcW w:w="1752" w:type="dxa"/>
            <w:vAlign w:val="center"/>
            <w:textDirection w:val="lrTb"/>
            <w:noWrap w:val="false"/>
          </w:tcPr>
          <w:p>
            <w:pPr>
              <w:jc w:val="center"/>
              <w:keepLines w:val="0"/>
              <w:keepNext w:val="0"/>
              <w:widowControl/>
              <w:rPr>
                <w:rFonts w:hint="eastAsia" w:ascii="宋体" w:hAnsi="宋体" w:eastAsia="宋体" w:cs="宋体"/>
                <w:b w:val="0"/>
                <w:bCs/>
                <w:i w:val="0"/>
                <w:iCs w:val="0"/>
                <w:color w:val="auto"/>
                <w:sz w:val="21"/>
                <w:szCs w:val="21"/>
                <w:u w:val="none"/>
                <w:lang w:val="en-US" w:eastAsia="zh-CN" w:bidi="ar-SA"/>
              </w:rPr>
              <w:suppressLineNumbers w:val="0"/>
            </w:pPr>
            <w:r>
              <w:rPr>
                <w:rFonts w:hint="eastAsia" w:ascii="宋体" w:hAnsi="宋体" w:eastAsia="宋体" w:cs="宋体"/>
                <w:b w:val="0"/>
                <w:bCs/>
                <w:i w:val="0"/>
                <w:iCs w:val="0"/>
                <w:color w:val="auto"/>
                <w:sz w:val="21"/>
                <w:szCs w:val="21"/>
                <w:u w:val="none"/>
                <w:lang w:val="en-US" w:eastAsia="zh-CN" w:bidi="ar-SA"/>
              </w:rPr>
            </w:r>
            <w:r/>
          </w:p>
        </w:tc>
        <w:tc>
          <w:tcPr>
            <w:tcW w:w="1620" w:type="dxa"/>
            <w:vAlign w:val="center"/>
            <w:textDirection w:val="lrTb"/>
            <w:noWrap w:val="false"/>
          </w:tcPr>
          <w:p>
            <w:pPr>
              <w:pStyle w:val="1221"/>
              <w:jc w:val="center"/>
              <w:rPr>
                <w:rFonts w:hint="eastAsia" w:ascii="宋体" w:hAnsi="宋体" w:eastAsia="宋体" w:cs="宋体"/>
                <w:b w:val="0"/>
                <w:bCs/>
                <w:color w:val="auto"/>
                <w:sz w:val="21"/>
                <w:szCs w:val="21"/>
                <w:highlight w:val="none"/>
                <w:vertAlign w:val="baseline"/>
              </w:rPr>
            </w:pPr>
            <w:r>
              <w:rPr>
                <w:rFonts w:hint="eastAsia" w:ascii="宋体" w:hAnsi="宋体" w:eastAsia="宋体" w:cs="宋体"/>
                <w:b w:val="0"/>
                <w:bCs/>
                <w:color w:val="auto"/>
                <w:sz w:val="21"/>
                <w:szCs w:val="21"/>
                <w:highlight w:val="none"/>
                <w:vertAlign w:val="baseline"/>
              </w:rPr>
            </w:r>
            <w:r/>
          </w:p>
        </w:tc>
      </w:tr>
    </w:tbl>
    <w:p>
      <w:pPr>
        <w:pStyle w:val="1221"/>
        <w:ind w:left="0" w:firstLine="0"/>
        <w:rPr>
          <w:rFonts w:ascii="仿宋" w:hAnsi="仿宋" w:eastAsia="仿宋"/>
          <w:bCs/>
          <w:sz w:val="28"/>
          <w:szCs w:val="28"/>
          <w:highlight w:val="none"/>
        </w:rPr>
      </w:pPr>
      <w:r>
        <w:rPr>
          <w:rFonts w:ascii="仿宋" w:hAnsi="仿宋" w:eastAsia="仿宋"/>
          <w:bCs/>
          <w:sz w:val="28"/>
          <w:szCs w:val="28"/>
          <w:highlight w:val="none"/>
        </w:rPr>
      </w:r>
      <w:r/>
    </w:p>
    <w:p>
      <w:pPr>
        <w:numPr>
          <w:ilvl w:val="0"/>
          <w:numId w:val="0"/>
        </w:numPr>
        <w:spacing w:after="5" w:line="360" w:lineRule="auto"/>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r>
      <w:r/>
    </w:p>
    <w:p>
      <w:pPr>
        <w:numPr>
          <w:ilvl w:val="0"/>
          <w:numId w:val="0"/>
        </w:numPr>
        <w:spacing w:after="5"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numPr>
          <w:ilvl w:val="0"/>
          <w:numId w:val="0"/>
        </w:numPr>
        <w:spacing w:after="5"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numPr>
          <w:ilvl w:val="0"/>
          <w:numId w:val="0"/>
        </w:numPr>
        <w:spacing w:after="5"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numPr>
          <w:ilvl w:val="0"/>
          <w:numId w:val="0"/>
        </w:numPr>
        <w:spacing w:after="5"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numPr>
          <w:ilvl w:val="0"/>
          <w:numId w:val="0"/>
        </w:numPr>
        <w:spacing w:after="5" w:line="360" w:lineRule="auto"/>
        <w:rPr>
          <w:rFonts w:ascii="宋体" w:hAnsi="宋体" w:eastAsia="宋体" w:cs="宋体"/>
          <w:b/>
          <w:bCs/>
          <w:sz w:val="24"/>
          <w:szCs w:val="24"/>
          <w:highlight w:val="yellow"/>
        </w:rPr>
      </w:pPr>
      <w:r>
        <w:rPr>
          <w:rFonts w:hint="eastAsia" w:ascii="宋体" w:hAnsi="宋体" w:eastAsia="宋体" w:cs="宋体"/>
          <w:b/>
          <w:bCs/>
          <w:sz w:val="24"/>
          <w:szCs w:val="24"/>
          <w:highlight w:val="none"/>
          <w:lang w:val="en-US" w:eastAsia="zh-CN"/>
        </w:rPr>
        <w:t xml:space="preserve">（二）商务部分</w:t>
      </w:r>
      <w:r>
        <w:rPr>
          <w:rFonts w:hint="eastAsia" w:ascii="宋体" w:hAnsi="宋体" w:eastAsia="宋体" w:cs="宋体"/>
          <w:b/>
          <w:bCs/>
          <w:sz w:val="24"/>
          <w:szCs w:val="24"/>
          <w:highlight w:val="none"/>
        </w:rPr>
        <w:t xml:space="preserve">：</w:t>
      </w:r>
      <w:r/>
    </w:p>
    <w:p>
      <w:pPr>
        <w:pStyle w:val="1708"/>
        <w:ind w:firstLine="480"/>
        <w:jc w:val="left"/>
        <w:spacing w:line="360" w:lineRule="auto"/>
        <w:tabs>
          <w:tab w:val="left" w:pos="1080" w:leader="none"/>
        </w:tabs>
        <w:rPr>
          <w:rFonts w:ascii="宋体" w:hAnsi="宋体" w:cs="宋体"/>
          <w:sz w:val="24"/>
          <w:szCs w:val="24"/>
          <w:highlight w:val="none"/>
        </w:rPr>
      </w:pPr>
      <w:r>
        <w:rPr>
          <w:rFonts w:hint="eastAsia" w:ascii="宋体" w:hAnsi="宋体"/>
          <w:sz w:val="24"/>
          <w:szCs w:val="24"/>
          <w:highlight w:val="none"/>
        </w:rPr>
        <w:t xml:space="preserve">1</w:t>
      </w:r>
      <w:r>
        <w:rPr>
          <w:rFonts w:hint="eastAsia" w:ascii="宋体" w:hAnsi="宋体" w:cs="宋体"/>
          <w:sz w:val="24"/>
          <w:szCs w:val="24"/>
          <w:highlight w:val="none"/>
        </w:rPr>
        <w:t xml:space="preserve">、项目地址：</w:t>
      </w:r>
      <w:r>
        <w:rPr>
          <w:rFonts w:hint="eastAsia" w:ascii="Times New Roman" w:hAnsi="Times New Roman" w:eastAsia="宋体" w:cs="Times New Roman"/>
          <w:sz w:val="24"/>
          <w:szCs w:val="24"/>
          <w:highlight w:val="none"/>
          <w:lang w:val="en-US" w:eastAsia="zh-CN"/>
        </w:rPr>
        <w:t xml:space="preserve">东北塘实验小学北校区</w:t>
      </w:r>
      <w:r>
        <w:rPr>
          <w:rFonts w:hint="eastAsia" w:ascii="宋体" w:hAnsi="宋体" w:cs="宋体"/>
          <w:sz w:val="24"/>
          <w:szCs w:val="24"/>
          <w:highlight w:val="none"/>
        </w:rPr>
        <w:t xml:space="preserve">。</w:t>
      </w:r>
      <w:r/>
    </w:p>
    <w:p>
      <w:pPr>
        <w:pStyle w:val="1708"/>
        <w:ind w:firstLine="480"/>
        <w:jc w:val="left"/>
        <w:spacing w:line="360" w:lineRule="auto"/>
        <w:tabs>
          <w:tab w:val="left" w:pos="1080" w:leader="none"/>
        </w:tabs>
        <w:rPr>
          <w:rFonts w:ascii="宋体" w:hAnsi="宋体" w:cs="宋体"/>
          <w:sz w:val="24"/>
          <w:szCs w:val="24"/>
          <w:highlight w:val="none"/>
        </w:rPr>
      </w:pPr>
      <w:r>
        <w:rPr>
          <w:rFonts w:hint="eastAsia" w:ascii="宋体" w:hAnsi="宋体" w:cs="宋体"/>
          <w:sz w:val="24"/>
          <w:szCs w:val="24"/>
          <w:highlight w:val="none"/>
        </w:rPr>
        <w:t xml:space="preserve">2、采购范围：清单范围内的东北塘实验小学北校区厨房设备采购。</w:t>
      </w:r>
      <w:r/>
    </w:p>
    <w:p>
      <w:pPr>
        <w:pStyle w:val="1708"/>
        <w:ind w:firstLine="480"/>
        <w:jc w:val="left"/>
        <w:spacing w:line="360" w:lineRule="auto"/>
        <w:tabs>
          <w:tab w:val="left" w:pos="1080" w:leader="none"/>
        </w:tabs>
        <w:rPr>
          <w:rFonts w:ascii="宋体" w:hAnsi="宋体" w:cs="宋体"/>
          <w:sz w:val="24"/>
          <w:szCs w:val="24"/>
          <w:highlight w:val="none"/>
          <w:lang w:val="zh-CN"/>
        </w:rPr>
      </w:pP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、供货期：</w:t>
      </w:r>
      <w:r>
        <w:rPr>
          <w:rFonts w:hint="eastAsia" w:ascii="宋体" w:hAnsi="宋体" w:eastAsia="宋体" w:cs="宋体"/>
          <w:color w:val="000000"/>
          <w:sz w:val="24"/>
          <w:szCs w:val="24"/>
          <w:highlight w:val="none"/>
        </w:rPr>
        <w:t xml:space="preserve">合同签订生效后20日历天内交货并安装调试完毕，并保证满足合同质量要求及甲方正常使用需要；后续相关配套服务以甲方要求为准。</w:t>
      </w:r>
      <w:r/>
    </w:p>
    <w:p>
      <w:pPr>
        <w:contextualSpacing/>
        <w:ind w:firstLine="420"/>
        <w:spacing w:line="360" w:lineRule="auto"/>
        <w:rPr>
          <w:rFonts w:ascii="宋体" w:hAnsi="宋体" w:eastAsia="宋体"/>
          <w:bCs/>
          <w:color w:val="000000"/>
          <w:sz w:val="24"/>
          <w:szCs w:val="24"/>
          <w:highlight w:val="none"/>
        </w:rPr>
      </w:pPr>
      <w:r>
        <w:rPr>
          <w:rFonts w:hint="eastAsia" w:ascii="宋体" w:hAnsi="宋体" w:eastAsia="宋体" w:cs="宋体"/>
          <w:color w:val="000000"/>
          <w:sz w:val="24"/>
          <w:szCs w:val="24"/>
          <w:highlight w:val="none"/>
        </w:rPr>
        <w:t xml:space="preserve">4.项目整体免费质保期：</w:t>
      </w:r>
      <w:r>
        <w:rPr>
          <w:rFonts w:hint="eastAsia" w:ascii="宋体" w:hAnsi="宋体" w:eastAsia="宋体"/>
          <w:sz w:val="24"/>
          <w:szCs w:val="24"/>
          <w:highlight w:val="none"/>
          <w:lang w:val="en-US" w:eastAsia="zh-CN"/>
        </w:rPr>
        <w:t xml:space="preserve">二</w:t>
      </w:r>
      <w:r>
        <w:rPr>
          <w:rFonts w:hint="eastAsia" w:ascii="宋体" w:hAnsi="宋体" w:eastAsia="宋体"/>
          <w:sz w:val="24"/>
          <w:szCs w:val="24"/>
          <w:highlight w:val="none"/>
        </w:rPr>
        <w:t xml:space="preserve">年</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自最终验收合格、交付使用之日起计算</w:t>
      </w:r>
      <w:r>
        <w:rPr>
          <w:rFonts w:ascii="宋体" w:hAnsi="宋体" w:eastAsia="宋体"/>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.质量标准：所供货物达到国家及行业标准，满足采购需求，并按照甲方要求安装调试到位。</w:t>
      </w:r>
      <w:r/>
    </w:p>
    <w:p>
      <w:pPr>
        <w:pStyle w:val="1708"/>
        <w:ind w:firstLine="480"/>
        <w:jc w:val="left"/>
        <w:spacing w:line="360" w:lineRule="auto"/>
        <w:tabs>
          <w:tab w:val="left" w:pos="1080" w:leader="none"/>
        </w:tabs>
        <w:rPr>
          <w:rFonts w:ascii="仿宋" w:hAnsi="仿宋" w:eastAsia="仿宋"/>
          <w:bCs/>
          <w:sz w:val="28"/>
          <w:szCs w:val="28"/>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、付款方式：供货完成且经采购人验收无质量问题后付至合同金额的90%，一年后付</w:t>
      </w:r>
      <w:r>
        <w:rPr>
          <w:rFonts w:hint="eastAsia" w:ascii="宋体" w:hAnsi="宋体" w:cs="宋体"/>
          <w:sz w:val="24"/>
          <w:szCs w:val="24"/>
          <w:highlight w:val="none"/>
          <w:lang w:val="en-US" w:eastAsia="zh-CN"/>
        </w:rPr>
        <w:t xml:space="preserve">至95%，质保期满后付清余款</w:t>
      </w:r>
      <w:r>
        <w:rPr>
          <w:rFonts w:hint="eastAsia" w:ascii="宋体" w:hAnsi="宋体" w:cs="宋体"/>
          <w:sz w:val="24"/>
          <w:szCs w:val="24"/>
          <w:highlight w:val="none"/>
        </w:rPr>
        <w:t xml:space="preserve">。</w:t>
      </w:r>
      <w:r>
        <w:rPr>
          <w:rFonts w:hint="eastAsia" w:ascii="宋体" w:hAnsi="宋体" w:eastAsia="宋体"/>
          <w:sz w:val="24"/>
          <w:szCs w:val="24"/>
          <w:highlight w:val="none"/>
        </w:rPr>
        <w:t xml:space="preserve">采购人原则上应当自收到发票后10个工作日内将资金支付到合同约定的供应商账户。若中标人未能按期开具发票，采购人可顺延付款。</w:t>
      </w:r>
      <w:r/>
    </w:p>
    <w:p>
      <w:pPr>
        <w:numPr>
          <w:ilvl w:val="0"/>
          <w:numId w:val="0"/>
        </w:numPr>
        <w:ind w:firstLine="480"/>
        <w:spacing w:line="360" w:lineRule="auto"/>
        <w:tabs>
          <w:tab w:val="left" w:pos="840" w:leader="none"/>
          <w:tab w:val="left" w:pos="115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0"/>
          <w:numId w:val="0"/>
        </w:num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投标人必须在满足招标文件要求的基础上进行报价，如有技术偏离请于投标偏离表中说明</w:t>
      </w:r>
      <w:r>
        <w:rPr>
          <w:rFonts w:hint="eastAsia" w:ascii="宋体" w:hAnsi="宋体" w:eastAsia="宋体" w:cs="宋体"/>
          <w:bCs/>
          <w:sz w:val="24"/>
          <w:szCs w:val="24"/>
          <w:highlight w:val="none"/>
          <w:lang w:eastAsia="zh-CN"/>
        </w:rPr>
        <w:t xml:space="preserve">。</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9、通过中国海关报关验放进入中国境内且产自关境外的产品不在本项目的报价范围。</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供应商必须按照采购方采购需求（以采购方提供的需求清单为准）提供相应数量的配件，所提供的配件必须为原厂生产，完全符合配件所使用生产厂商的质量要求。其各项技术性能指标、质量标准应满足企业标准（行业标准），满足使用要求。</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技术资料：中标供应商须提供产品的安装手册、操作手册、维修保养手册等技术文件及产品合格证、质量保证书等全套资料。</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rPr>
        <w:t xml:space="preserve">、服务标准：</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（1）包装要求</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供应商提供的配件每个最小包装单元必须齐全有效，并且配件完好、无破损。配件的包装需由供应商自行解决，不得向采购方另外收取包装相关费用。供应商没有明确要求收回的配件包装，采购方不予保存。</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（2）安全要求</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供应商在采购方工作区域送货、服务时，施工人员、车辆及工具需遵守采购方的各项安全规定，遵守采购方工作区域的消防管理规定，自觉接受消防安全检查，并保持工作场地整齐、清洁。</w:t>
      </w:r>
      <w:r/>
    </w:p>
    <w:p>
      <w:pPr>
        <w:ind w:firstLine="482"/>
        <w:jc w:val="left"/>
        <w:spacing w:line="440" w:lineRule="exact"/>
        <w:rPr>
          <w:rFonts w:hint="eastAsia" w:ascii="宋体" w:hAnsi="宋体" w:eastAsia="宋体" w:cs="宋体"/>
          <w:b w:val="0"/>
          <w:bCs/>
          <w:color w:val="auto"/>
          <w:sz w:val="24"/>
          <w:szCs w:val="20"/>
          <w:lang w:eastAsia="zh-CN"/>
        </w:rPr>
      </w:pPr>
      <w:r>
        <w:rPr>
          <w:rFonts w:hint="eastAsia" w:ascii="宋体" w:hAnsi="宋体" w:eastAsia="宋体" w:cs="宋体"/>
          <w:b w:val="0"/>
          <w:bCs/>
          <w:color w:val="auto"/>
          <w:sz w:val="24"/>
          <w:szCs w:val="20"/>
          <w:lang w:val="en-US" w:eastAsia="zh-CN"/>
        </w:rPr>
        <w:t xml:space="preserve">13、</w:t>
      </w:r>
      <w:r>
        <w:rPr>
          <w:rFonts w:hint="eastAsia" w:ascii="宋体" w:hAnsi="宋体" w:eastAsia="宋体" w:cs="宋体"/>
          <w:b w:val="0"/>
          <w:bCs/>
          <w:color w:val="auto"/>
          <w:sz w:val="24"/>
          <w:szCs w:val="20"/>
        </w:rPr>
        <w:t xml:space="preserve">安装及</w:t>
      </w:r>
      <w:r>
        <w:rPr>
          <w:rFonts w:hint="eastAsia" w:ascii="宋体" w:hAnsi="宋体" w:eastAsia="宋体" w:cs="宋体"/>
          <w:b w:val="0"/>
          <w:bCs/>
          <w:color w:val="auto"/>
          <w:sz w:val="24"/>
          <w:szCs w:val="20"/>
          <w:lang w:val="en-US" w:eastAsia="zh-CN"/>
        </w:rPr>
        <w:t xml:space="preserve">调试</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中标供应商应派经采购人认可的有经验和能力、具有相应资质的技术人员，负责安装工作，在安装期间应充分了解安装进度要求，解决安装中出现的技术问题。</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（1）中标供应商负责货物的安装</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调试</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（2）安装</w:t>
      </w:r>
      <w:r>
        <w:rPr>
          <w:rFonts w:hint="eastAsia" w:ascii="宋体" w:hAnsi="宋体" w:eastAsia="宋体" w:cs="宋体"/>
          <w:color w:val="auto"/>
          <w:sz w:val="24"/>
          <w:szCs w:val="20"/>
          <w:lang w:val="en-US" w:eastAsia="zh-CN"/>
        </w:rPr>
        <w:t xml:space="preserve">及调试</w:t>
      </w:r>
      <w:r>
        <w:rPr>
          <w:rFonts w:hint="eastAsia" w:ascii="宋体" w:hAnsi="宋体" w:eastAsia="宋体" w:cs="宋体"/>
          <w:color w:val="auto"/>
          <w:sz w:val="24"/>
          <w:szCs w:val="20"/>
        </w:rPr>
        <w:t xml:space="preserve">所需专用工具设施物料由中标供应商自备、自费运到现场，完工后自费搬走。</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auto"/>
          <w:sz w:val="24"/>
          <w:szCs w:val="20"/>
        </w:rPr>
        <w:t xml:space="preserve">（3）安装完成后，验收按国家有关规范标准（国家无验收规范标准的按双方合同规定的要求）进行。</w:t>
      </w:r>
      <w:r/>
    </w:p>
    <w:p>
      <w:pPr>
        <w:ind w:firstLine="482"/>
        <w:jc w:val="left"/>
        <w:spacing w:line="440" w:lineRule="exact"/>
        <w:rPr>
          <w:rFonts w:hint="eastAsia" w:ascii="宋体" w:hAnsi="宋体" w:eastAsia="宋体" w:cs="宋体"/>
          <w:b w:val="0"/>
          <w:bCs/>
          <w:color w:val="auto"/>
          <w:sz w:val="24"/>
          <w:szCs w:val="20"/>
        </w:rPr>
      </w:pPr>
      <w:r>
        <w:rPr>
          <w:rFonts w:hint="eastAsia" w:ascii="宋体" w:hAnsi="宋体" w:eastAsia="宋体" w:cs="宋体"/>
          <w:b w:val="0"/>
          <w:bCs/>
          <w:color w:val="000000"/>
          <w:sz w:val="24"/>
          <w:szCs w:val="24"/>
          <w:highlight w:val="none"/>
          <w:lang w:val="en-US" w:eastAsia="zh-CN"/>
        </w:rPr>
        <w:t xml:space="preserve">14、</w:t>
      </w:r>
      <w:r>
        <w:rPr>
          <w:rFonts w:hint="eastAsia" w:ascii="宋体" w:hAnsi="宋体" w:eastAsia="宋体" w:cs="宋体"/>
          <w:b w:val="0"/>
          <w:bCs/>
          <w:color w:val="auto"/>
          <w:sz w:val="24"/>
          <w:szCs w:val="20"/>
        </w:rPr>
        <w:t xml:space="preserve">售后服务要求</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（1）免费质保（服务）期：不少于</w:t>
      </w:r>
      <w:r>
        <w:rPr>
          <w:rFonts w:hint="eastAsia" w:ascii="宋体" w:hAnsi="宋体" w:eastAsia="宋体" w:cs="宋体"/>
          <w:color w:val="auto"/>
          <w:sz w:val="24"/>
          <w:szCs w:val="18"/>
          <w:lang w:val="en-US" w:eastAsia="zh-CN"/>
        </w:rPr>
        <w:t xml:space="preserve">二</w:t>
      </w:r>
      <w:r>
        <w:rPr>
          <w:rFonts w:hint="eastAsia" w:ascii="宋体" w:hAnsi="宋体" w:eastAsia="宋体" w:cs="宋体"/>
          <w:color w:val="auto"/>
          <w:sz w:val="24"/>
          <w:szCs w:val="18"/>
        </w:rPr>
        <w:t xml:space="preserve">年，中标供应商须按国家“三包服务政策”和厂家条例提供整机保修、主件保修、耗材及易损件保修。质保期内原厂免费上门质保。保修期内产品质量问题在二次维修后仍不能正常运行的，能保证予以调换或提供同品牌、同型号的新产品（服务）。</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hint="eastAsia" w:ascii="宋体" w:hAnsi="宋体" w:eastAsia="宋体" w:cs="宋体"/>
          <w:color w:val="auto"/>
          <w:sz w:val="24"/>
          <w:szCs w:val="18"/>
          <w:lang w:eastAsia="zh-CN"/>
        </w:rPr>
      </w:pPr>
      <w:r>
        <w:rPr>
          <w:rFonts w:hint="eastAsia" w:ascii="宋体" w:hAnsi="宋体" w:eastAsia="宋体" w:cs="宋体"/>
          <w:color w:val="auto"/>
          <w:sz w:val="24"/>
          <w:szCs w:val="18"/>
        </w:rPr>
        <w:t xml:space="preserve">（3）故障响应时间：在货物保修期内，一旦发生质量问题，中标供应商接到电话后1小时服务响应，2小时内到达现场，并于24小时内解决问题。如果未能解决故障，中标供应商须提供同类可用产品或解决方案供采购人替代使用，直到故障排除，如需更换货物或送修，必须在2个工作日内解决。如果中标供应商在接到通知后12小时内没有答复，则视为承认质量问题并承担由此发生的一切费用。在质保期内发生问题，所有服务应免费。质保期满后的维修内容减免上门费及人工费等费用，仅按原材料的价格收取维修费用</w:t>
      </w:r>
      <w:r>
        <w:rPr>
          <w:rFonts w:hint="eastAsia" w:ascii="宋体" w:hAnsi="宋体" w:eastAsia="宋体" w:cs="宋体"/>
          <w:color w:val="auto"/>
          <w:sz w:val="24"/>
          <w:szCs w:val="18"/>
          <w:lang w:eastAsia="zh-CN"/>
        </w:rPr>
        <w:t xml:space="preserve">。</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（4）质保期内，除人为损坏和不可抗力外，</w:t>
      </w:r>
      <w:r>
        <w:rPr>
          <w:rFonts w:hint="eastAsia" w:ascii="宋体" w:hAnsi="宋体" w:eastAsia="宋体" w:cs="宋体"/>
          <w:color w:val="auto"/>
          <w:sz w:val="24"/>
          <w:szCs w:val="18"/>
          <w:lang w:eastAsia="zh-CN"/>
        </w:rPr>
        <w:t xml:space="preserve">期间</w:t>
      </w:r>
      <w:r>
        <w:rPr>
          <w:rFonts w:hint="eastAsia" w:ascii="宋体" w:hAnsi="宋体" w:eastAsia="宋体" w:cs="宋体"/>
          <w:color w:val="auto"/>
          <w:sz w:val="24"/>
          <w:szCs w:val="18"/>
        </w:rPr>
        <w:t xml:space="preserve">所产生的任何维护或维修及更换配件的费用均由中标供应商承担。</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5）中标供应商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15</w:t>
      </w:r>
      <w:r>
        <w:rPr>
          <w:rFonts w:hint="eastAsia" w:ascii="宋体" w:hAnsi="宋体" w:eastAsia="宋体" w:cs="宋体"/>
          <w:b w:val="0"/>
          <w:bCs/>
          <w:color w:val="000000"/>
          <w:sz w:val="24"/>
          <w:szCs w:val="24"/>
          <w:highlight w:val="none"/>
        </w:rPr>
        <w:t xml:space="preserve">、验收标准：</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对于国家或地方技术质量监督抽查不合格及因自身质量问题造成严重后果的配件，供应商需进行换货或返修，直至符合相关要求，期间造成影响采购方维修进度的或造成采购方设备损伤的，由供应商负责承担全部责任及连带责任。</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根据质量缺陷的具体情况，供应商应对检验存在质量缺陷或安装使用后无法恢复设备使用性能的配件，应做出让步接收或退货等处理措施。对包装变形、破损、泄漏的配件进行及时更换。必要时服务项目完成后应出具工作记录或检验测试文件。</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16</w:t>
      </w:r>
      <w:r>
        <w:rPr>
          <w:rFonts w:hint="eastAsia" w:ascii="宋体" w:hAnsi="宋体" w:eastAsia="宋体" w:cs="宋体"/>
          <w:b w:val="0"/>
          <w:bCs/>
          <w:color w:val="000000"/>
          <w:sz w:val="24"/>
          <w:szCs w:val="24"/>
          <w:highlight w:val="none"/>
        </w:rPr>
        <w:t xml:space="preserve">、本项目合同履行地点为东北塘实验小学北校区内，中标方必须按甲方要求将本项目中设备送到指定地点（包括可能的分布范围），并实施安装调试。</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17</w:t>
      </w:r>
      <w:r>
        <w:rPr>
          <w:rFonts w:hint="eastAsia" w:ascii="宋体" w:hAnsi="宋体" w:eastAsia="宋体" w:cs="宋体"/>
          <w:b w:val="0"/>
          <w:bCs/>
          <w:color w:val="000000"/>
          <w:sz w:val="24"/>
          <w:szCs w:val="24"/>
          <w:highlight w:val="none"/>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18</w:t>
      </w:r>
      <w:r>
        <w:rPr>
          <w:rFonts w:hint="eastAsia" w:ascii="宋体" w:hAnsi="宋体" w:eastAsia="宋体" w:cs="宋体"/>
          <w:b w:val="0"/>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0"/>
          <w:numId w:val="0"/>
        </w:numPr>
        <w:ind w:firstLine="480"/>
        <w:spacing w:line="360" w:lineRule="auto"/>
        <w:tabs>
          <w:tab w:val="left" w:pos="840" w:leader="none"/>
          <w:tab w:val="left" w:pos="1155"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w:t>
      </w:r>
      <w:r/>
    </w:p>
    <w:p>
      <w:pPr>
        <w:pStyle w:val="1221"/>
        <w:ind w:left="0" w:firstLine="0"/>
        <w:rPr>
          <w:rFonts w:ascii="仿宋" w:hAnsi="仿宋" w:eastAsia="仿宋"/>
          <w:bCs/>
          <w:sz w:val="28"/>
          <w:szCs w:val="28"/>
          <w:highlight w:val="none"/>
        </w:rPr>
        <w:sectPr>
          <w:headerReference w:type="default" r:id="rId10"/>
          <w:footerReference w:type="default" r:id="rId19"/>
          <w:footnotePr/>
          <w:endnotePr/>
          <w:type w:val="nextPage"/>
          <w:pgSz w:w="11907" w:h="16839" w:orient="portrait"/>
          <w:pgMar w:top="1077" w:right="1842" w:bottom="617" w:left="1276" w:header="0" w:footer="405" w:gutter="0"/>
          <w:pgNumType w:start="18"/>
          <w:cols w:num="1" w:sep="0" w:space="720" w:equalWidth="1"/>
          <w:docGrid w:linePitch="360"/>
        </w:sectPr>
      </w:pPr>
      <w:r>
        <w:rPr>
          <w:rFonts w:ascii="仿宋" w:hAnsi="仿宋" w:eastAsia="仿宋"/>
          <w:bCs/>
          <w:sz w:val="28"/>
          <w:szCs w:val="28"/>
          <w:highlight w:val="none"/>
        </w:rPr>
      </w:r>
      <w:r/>
    </w:p>
    <w:p>
      <w:pPr>
        <w:pStyle w:val="1221"/>
        <w:numPr>
          <w:ilvl w:val="0"/>
          <w:numId w:val="0"/>
        </w:numPr>
        <w:ind w:left="420"/>
        <w:rPr>
          <w:rFonts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（三）技术部分</w:t>
      </w:r>
      <w:r/>
    </w:p>
    <w:tbl>
      <w:tblPr>
        <w:tblStyle w:val="1194"/>
        <w:tblW w:w="14972" w:type="dxa"/>
        <w:tblInd w:w="-2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7"/>
        <w:gridCol w:w="1206"/>
        <w:gridCol w:w="1853"/>
        <w:gridCol w:w="875"/>
        <w:gridCol w:w="775"/>
        <w:gridCol w:w="6876"/>
        <w:gridCol w:w="228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参考图片</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蔬菜粗加工</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双星盆台（斜背）</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台面：1.0mm不锈钢板；星盆：1.0mm不锈钢板,斗深300mm；脚管：38*38/厚0.8mm304不锈钢方管，可调子弹脚；配不锈钢沥水器。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11" name="图片_7"/>
                      <wp:cNvGraphicFramePr/>
                      <a:graphic xmlns:a="http://schemas.openxmlformats.org/drawingml/2006/main">
                        <a:graphicData uri="http://schemas.openxmlformats.org/drawingml/2006/picture">
                          <pic:pic xmlns:pic="http://schemas.openxmlformats.org/drawingml/2006/picture">
                            <pic:nvPicPr>
                              <pic:cNvPr id="11" name="图片_7"/>
                              <pic:cNvPicPr/>
                              <pic:nvPr/>
                            </pic:nvPicPr>
                            <pic:blipFill>
                              <a:blip r:embed="rId30"/>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30" o:title=""/>
                    </v:shape>
                  </w:pict>
                </mc:Fallback>
              </mc:AlternateConten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双层带格栅工作台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格栅层板：采用SUS304不锈钢不锈钢板厚度1.0mm；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衬管：采用SUS304不锈钢不锈钢方管20*60*1.0mm；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下层横管：采用SUS304不锈钢不锈钢方管25*50*1.0mm;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脚通：采用SUS304不锈钢不锈钢方管38*38*1.0mm；</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1041400"/>
                      <wp:effectExtent l="0" t="0" r="6350" b="6350"/>
                      <wp:wrapNone/>
                      <wp:docPr id="12" name="图片_9"/>
                      <wp:cNvGraphicFramePr/>
                      <a:graphic xmlns:a="http://schemas.openxmlformats.org/drawingml/2006/main">
                        <a:graphicData uri="http://schemas.openxmlformats.org/drawingml/2006/picture">
                          <pic:pic xmlns:pic="http://schemas.openxmlformats.org/drawingml/2006/picture">
                            <pic:nvPicPr>
                              <pic:cNvPr id="12" name="图片_9"/>
                              <pic:cNvPicPr/>
                              <pic:nvPr/>
                            </pic:nvPicPr>
                            <pic:blipFill>
                              <a:blip r:embed="rId31"/>
                              <a:stretch/>
                            </pic:blipFill>
                            <pic:spPr bwMode="auto">
                              <a:xfrm>
                                <a:off x="0" y="0"/>
                                <a:ext cx="1270000" cy="1041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4384;o:allowoverlap:true;o:allowincell:true;mso-position-horizontal-relative:text;margin-left:5.0pt;mso-position-horizontal:absolute;mso-position-vertical-relative:text;margin-top:5.0pt;mso-position-vertical:absolute;width:100.0pt;height:82.0pt;mso-wrap-distance-left:9.0pt;mso-wrap-distance-top:0.0pt;mso-wrap-distance-right:9.0pt;mso-wrap-distance-bottom:0.0pt;" stroked="f">
                      <v:path textboxrect="0,0,0,0"/>
                      <v:imagedata r:id="rId31" o:title=""/>
                    </v:shape>
                  </w:pict>
                </mc:Fallback>
              </mc:AlternateContent>
            </w:r>
            <w:r/>
          </w:p>
        </w:tc>
      </w:tr>
      <w:tr>
        <w:trPr>
          <w:trHeight w:val="2675"/>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538*155*648±10%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2、功率：≥20W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3、电压：220V</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1285875"/>
                      <wp:effectExtent l="0" t="0" r="6350" b="9525"/>
                      <wp:wrapNone/>
                      <wp:docPr id="13" name="图片_11"/>
                      <wp:cNvGraphicFramePr/>
                      <a:graphic xmlns:a="http://schemas.openxmlformats.org/drawingml/2006/main">
                        <a:graphicData uri="http://schemas.openxmlformats.org/drawingml/2006/picture">
                          <pic:pic xmlns:pic="http://schemas.openxmlformats.org/drawingml/2006/picture">
                            <pic:nvPicPr>
                              <pic:cNvPr id="13" name="图片_11"/>
                              <pic:cNvPicPr/>
                              <pic:nvPr/>
                            </pic:nvPicPr>
                            <pic:blipFill>
                              <a:blip r:embed="rId32"/>
                              <a:stretch/>
                            </pic:blipFill>
                            <pic:spPr bwMode="auto">
                              <a:xfrm>
                                <a:off x="0" y="0"/>
                                <a:ext cx="1270000" cy="128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4384;o:allowoverlap:true;o:allowincell:true;mso-position-horizontal-relative:text;margin-left:5.0pt;mso-position-horizontal:absolute;mso-position-vertical-relative:text;margin-top:5.0pt;mso-position-vertical:absolute;width:100.0pt;height:101.2pt;mso-wrap-distance-left:9.0pt;mso-wrap-distance-top:0.0pt;mso-wrap-distance-right:9.0pt;mso-wrap-distance-bottom:0.0pt;" stroked="f">
                      <v:path textboxrect="0,0,0,0"/>
                      <v:imagedata r:id="rId32"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单星杀鱼台连花洒龙头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台面：1.0mm不锈钢板；星盆：1.0mm不锈钢板,斗深300mm；脚管：38*38/厚0.8mm304不锈钢方管，可调子弹脚；配不锈钢沥水器。</w:t>
            </w:r>
            <w:r>
              <w:rPr>
                <w:rFonts w:hint="eastAsia" w:ascii="宋体" w:hAnsi="宋体" w:eastAsia="宋体" w:cs="宋体"/>
                <w:b/>
                <w:bCs/>
                <w:i w:val="0"/>
                <w:iCs w:val="0"/>
                <w:color w:val="auto"/>
                <w:sz w:val="20"/>
                <w:szCs w:val="20"/>
                <w:u w:val="none"/>
                <w:lang w:val="en-US" w:eastAsia="zh-CN" w:bidi="ar"/>
              </w:rPr>
              <w:t xml:space="preserve">▲</w:t>
            </w:r>
            <w:r>
              <w:rPr>
                <w:rStyle w:val="1851"/>
                <w:rFonts w:hint="eastAsia" w:ascii="宋体" w:hAnsi="宋体" w:eastAsia="宋体" w:cs="宋体"/>
                <w:color w:val="auto"/>
                <w:sz w:val="20"/>
                <w:szCs w:val="20"/>
                <w:highlight w:val="none"/>
                <w:lang w:val="en-US" w:eastAsia="zh-CN" w:bidi="ar"/>
              </w:rPr>
              <w:t xml:space="preserve">依据财政部、发展改革委发布的《节能产品政府采购品目清单》，本项目采购的</w:t>
            </w:r>
            <w:r>
              <w:rPr>
                <w:rFonts w:hint="eastAsia" w:ascii="宋体" w:hAnsi="宋体" w:eastAsia="宋体" w:cs="宋体"/>
                <w:b/>
                <w:bCs/>
                <w:i w:val="0"/>
                <w:iCs w:val="0"/>
                <w:color w:val="auto"/>
                <w:sz w:val="20"/>
                <w:szCs w:val="20"/>
                <w:u w:val="none"/>
                <w:lang w:val="en-US" w:eastAsia="zh-CN" w:bidi="ar"/>
              </w:rPr>
              <w:t xml:space="preserve">花洒龙头</w:t>
            </w:r>
            <w:r>
              <w:rPr>
                <w:rStyle w:val="1851"/>
                <w:rFonts w:hint="eastAsia" w:ascii="宋体" w:hAnsi="宋体" w:eastAsia="宋体" w:cs="宋体"/>
                <w:color w:val="auto"/>
                <w:sz w:val="20"/>
                <w:szCs w:val="20"/>
                <w:highlight w:val="none"/>
                <w:lang w:val="en-US" w:eastAsia="zh-CN" w:bidi="ar"/>
              </w:rPr>
              <w:t xml:space="preserve">为政府强制采购的节能产品，投标人只能选择具有国家确定的认证机构出具的有效期之内的节能产品认证证书扫描件上传至投标文件中并电子签章。</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14" name="图片_13"/>
                      <wp:cNvGraphicFramePr/>
                      <a:graphic xmlns:a="http://schemas.openxmlformats.org/drawingml/2006/main">
                        <a:graphicData uri="http://schemas.openxmlformats.org/drawingml/2006/picture">
                          <pic:pic xmlns:pic="http://schemas.openxmlformats.org/drawingml/2006/picture">
                            <pic:nvPicPr>
                              <pic:cNvPr id="14" name="图片_13"/>
                              <pic:cNvPicPr/>
                              <pic:nvPr/>
                            </pic:nvPicPr>
                            <pic:blipFill>
                              <a:blip r:embed="rId33"/>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33" o:title=""/>
                    </v:shape>
                  </w:pict>
                </mc:Fallback>
              </mc:AlternateConten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60L</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电压：3N-380V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1.每小时出水量：≥80L /h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2.单次大出水量：≥15L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3.内外胆采用全不锈钢板制作，配380V不锈钢电热管，配自动进水1套，断水装置1套，配温度表、电源指示灯；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4.座架采用1.0mm不锈钢板制作，脚用Ф32*1.0mm不锈钢圆管。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323850</wp:posOffset>
                      </wp:positionH>
                      <wp:positionV relativeFrom="paragraph">
                        <wp:posOffset>209550</wp:posOffset>
                      </wp:positionV>
                      <wp:extent cx="360680" cy="612140"/>
                      <wp:effectExtent l="0" t="0" r="1270" b="16510"/>
                      <wp:wrapNone/>
                      <wp:docPr id="15" name="图片_136"/>
                      <wp:cNvGraphicFramePr/>
                      <a:graphic xmlns:a="http://schemas.openxmlformats.org/drawingml/2006/main">
                        <a:graphicData uri="http://schemas.openxmlformats.org/drawingml/2006/picture">
                          <pic:pic xmlns:pic="http://schemas.openxmlformats.org/drawingml/2006/picture">
                            <pic:nvPicPr>
                              <pic:cNvPr id="15" name="图片_136"/>
                              <pic:cNvPicPr/>
                              <pic:nvPr/>
                            </pic:nvPicPr>
                            <pic:blipFill>
                              <a:blip r:embed="rId34"/>
                              <a:stretch/>
                            </pic:blipFill>
                            <pic:spPr bwMode="auto">
                              <a:xfrm>
                                <a:off x="0" y="0"/>
                                <a:ext cx="36068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4384;o:allowoverlap:true;o:allowincell:true;mso-position-horizontal-relative:text;margin-left:25.5pt;mso-position-horizontal:absolute;mso-position-vertical-relative:text;margin-top:16.5pt;mso-position-vertical:absolute;width:28.4pt;height:48.2pt;mso-wrap-distance-left:9.0pt;mso-wrap-distance-top:0.0pt;mso-wrap-distance-right:9.0pt;mso-wrap-distance-bottom:0.0pt;" stroked="f">
                      <v:path textboxrect="0,0,0,0"/>
                      <v:imagedata r:id="rId34" o:title=""/>
                    </v:shape>
                  </w:pict>
                </mc:Fallback>
              </mc:AlternateConten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630*760*1950±10%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2、功率：≥500W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3、电压：220V</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1536700"/>
                      <wp:effectExtent l="0" t="0" r="6350" b="6350"/>
                      <wp:wrapNone/>
                      <wp:docPr id="16" name="图片_17"/>
                      <wp:cNvGraphicFramePr/>
                      <a:graphic xmlns:a="http://schemas.openxmlformats.org/drawingml/2006/main">
                        <a:graphicData uri="http://schemas.openxmlformats.org/drawingml/2006/picture">
                          <pic:pic xmlns:pic="http://schemas.openxmlformats.org/drawingml/2006/picture">
                            <pic:nvPicPr>
                              <pic:cNvPr id="16" name="图片_17"/>
                              <pic:cNvPicPr/>
                              <pic:nvPr/>
                            </pic:nvPicPr>
                            <pic:blipFill>
                              <a:blip r:embed="rId35"/>
                              <a:stretch/>
                            </pic:blipFill>
                            <pic:spPr bwMode="auto">
                              <a:xfrm>
                                <a:off x="0" y="0"/>
                                <a:ext cx="1270000" cy="153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4384;o:allowoverlap:true;o:allowincell:true;mso-position-horizontal-relative:text;margin-left:5.0pt;mso-position-horizontal:absolute;mso-position-vertical-relative:text;margin-top:5.0pt;mso-position-vertical:absolute;width:100.0pt;height:121.0pt;mso-wrap-distance-left:9.0pt;mso-wrap-distance-top:0.0pt;mso-wrap-distance-right:9.0pt;mso-wrap-distance-bottom:0.0pt;" stroked="f">
                      <v:path textboxrect="0,0,0,0"/>
                      <v:imagedata r:id="rId35"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大单星盆台（斜背）</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台面：1.0mm不锈钢板；星盆：1.0mm不锈钢板,斗深300mm；脚管：38*38/厚0.8mm304不锈钢方管，可调子弹脚；配不锈钢沥水器。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17" name="图片_19"/>
                      <wp:cNvGraphicFramePr/>
                      <a:graphic xmlns:a="http://schemas.openxmlformats.org/drawingml/2006/main">
                        <a:graphicData uri="http://schemas.openxmlformats.org/drawingml/2006/picture">
                          <pic:pic xmlns:pic="http://schemas.openxmlformats.org/drawingml/2006/picture">
                            <pic:nvPicPr>
                              <pic:cNvPr id="17" name="图片_19"/>
                              <pic:cNvPicPr/>
                              <pic:nvPr/>
                            </pic:nvPicPr>
                            <pic:blipFill>
                              <a:blip r:embed="rId36"/>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36" o:title=""/>
                    </v:shape>
                  </w:pict>
                </mc:Fallback>
              </mc:AlternateContent>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四门双温高身雪柜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1200*705*1950±10%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直冷制冷方式，双机双温。采用不锈钢制作；2.制冷冷凝机组与压缩机用单独安装板连接固定，降低震动产生的噪音；3.不锈钢门衬板和内底板均采用模具整体拉伸成型，内底板为圆弧拐角，无死角易清洗，满足卫生标准；4.微电脑控制、多按键设计、操作简便、清晰易读；5.全铜管蒸发器、制冷强劲，可拆卸封条、易清洗；6.门体采用自动回归铰链，开门一定角度可自由停顿、关门回归助力；7.整体模具发泡，自动发泡设备，工艺稳定，无氟环保；7.全不锈钢板，温度范围：+4~-5℃，-3~-15℃，容积≥800L</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1536700"/>
                      <wp:effectExtent l="0" t="0" r="6350" b="6350"/>
                      <wp:wrapNone/>
                      <wp:docPr id="18" name="图片_21"/>
                      <wp:cNvGraphicFramePr/>
                      <a:graphic xmlns:a="http://schemas.openxmlformats.org/drawingml/2006/main">
                        <a:graphicData uri="http://schemas.openxmlformats.org/drawingml/2006/picture">
                          <pic:pic xmlns:pic="http://schemas.openxmlformats.org/drawingml/2006/picture">
                            <pic:nvPicPr>
                              <pic:cNvPr id="18" name="图片_21"/>
                              <pic:cNvPicPr/>
                              <pic:nvPr/>
                            </pic:nvPicPr>
                            <pic:blipFill>
                              <a:blip r:embed="rId37"/>
                              <a:stretch/>
                            </pic:blipFill>
                            <pic:spPr bwMode="auto">
                              <a:xfrm>
                                <a:off x="0" y="0"/>
                                <a:ext cx="1270000" cy="153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4384;o:allowoverlap:true;o:allowincell:true;mso-position-horizontal-relative:text;margin-left:5.0pt;mso-position-horizontal:absolute;mso-position-vertical-relative:text;margin-top:5.0pt;mso-position-vertical:absolute;width:100.0pt;height:121.0pt;mso-wrap-distance-left:9.0pt;mso-wrap-distance-top:0.0pt;mso-wrap-distance-right:9.0pt;mso-wrap-distance-bottom:0.0pt;" stroked="f">
                      <v:path textboxrect="0,0,0,0"/>
                      <v:imagedata r:id="rId37" o:title=""/>
                    </v:shape>
                  </w:pict>
                </mc:Fallback>
              </mc:AlternateContent>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六门双温高身雪柜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1800*705*1950±10%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直冷制冷方式，双机双温。采用不锈钢制作；2.制冷冷凝机组与压缩机用单独安装板连接固定，降低震动产生的噪音；3.不锈钢门衬板和内底板均采用模具整体拉伸成型，内底板为圆弧拐角，无死角易清洗，满足卫生标准；4.微电脑控制、多按键设计、操作简便、清晰易读；5.全铜管蒸发器、制冷强劲，可拆卸封条、易清洗；6.门体采用自动回归铰链，开门一定角度可自由停顿、关门回归助力；7.整体模具发泡，自动发泡设备，工艺稳定，无氟环保；7.全不锈钢板，温度范围：+4~-5℃，-3~-15℃，容积≥900L</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1536700"/>
                      <wp:effectExtent l="0" t="0" r="6350" b="6350"/>
                      <wp:wrapNone/>
                      <wp:docPr id="19" name="图片_23"/>
                      <wp:cNvGraphicFramePr/>
                      <a:graphic xmlns:a="http://schemas.openxmlformats.org/drawingml/2006/main">
                        <a:graphicData uri="http://schemas.openxmlformats.org/drawingml/2006/picture">
                          <pic:pic xmlns:pic="http://schemas.openxmlformats.org/drawingml/2006/picture">
                            <pic:nvPicPr>
                              <pic:cNvPr id="19" name="图片_23"/>
                              <pic:cNvPicPr/>
                              <pic:nvPr/>
                            </pic:nvPicPr>
                            <pic:blipFill>
                              <a:blip r:embed="rId38"/>
                              <a:stretch/>
                            </pic:blipFill>
                            <pic:spPr bwMode="auto">
                              <a:xfrm>
                                <a:off x="0" y="0"/>
                                <a:ext cx="1270000" cy="153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4384;o:allowoverlap:true;o:allowincell:true;mso-position-horizontal-relative:text;margin-left:5.0pt;mso-position-horizontal:absolute;mso-position-vertical-relative:text;margin-top:5.0pt;mso-position-vertical:absolute;width:100.0pt;height:121.0pt;mso-wrap-distance-left:9.0pt;mso-wrap-distance-top:0.0pt;mso-wrap-distance-right:9.0pt;mso-wrap-distance-bottom:0.0pt;" stroked="f">
                      <v:path textboxrect="0,0,0,0"/>
                      <v:imagedata r:id="rId38"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单孔污碟台(方脚斜背）</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700*700*800/150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为SUS304不锈钢板，台面采用实际厚度1.0mm不锈钢板，台面横向、纵向配宽度为80mm不锈钢加强筋2根，采用点焊机无痕点焊，工作台带后背，下层四周围边38*25*实际厚度≥0.68mm的304不锈钢方管，脚管采用38*38*实际厚度0.8mm的304不锈钢方管支撑，脚为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20" name="图片_25"/>
                      <wp:cNvGraphicFramePr/>
                      <a:graphic xmlns:a="http://schemas.openxmlformats.org/drawingml/2006/main">
                        <a:graphicData uri="http://schemas.openxmlformats.org/drawingml/2006/picture">
                          <pic:pic xmlns:pic="http://schemas.openxmlformats.org/drawingml/2006/picture">
                            <pic:nvPicPr>
                              <pic:cNvPr id="20" name="图片_25"/>
                              <pic:cNvPicPr/>
                              <pic:nvPr/>
                            </pic:nvPicPr>
                            <pic:blipFill>
                              <a:blip r:embed="rId39"/>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39" o:title=""/>
                    </v:shape>
                  </w:pict>
                </mc:Fallback>
              </mc:AlternateContent>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落地式电子秤</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150KG</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计数、计重及百分比功能，具有检校秤功能，具有自动校正、自动零点追踪、双重过载保护功能，大型液晶LCD显示，LED背光功能，具有双色LED充电指示，可清楚指示充电状况，背胶采用防水性高优质胶贴，外壳采用ABS塑钢材质。电子显示头可上下调整角度。采用交流或内置可充电蓄电池。功率/电压：≥100W/220V。</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977900"/>
                      <wp:effectExtent l="0" t="0" r="6350" b="12700"/>
                      <wp:wrapNone/>
                      <wp:docPr id="21" name="图片_27"/>
                      <wp:cNvGraphicFramePr/>
                      <a:graphic xmlns:a="http://schemas.openxmlformats.org/drawingml/2006/main">
                        <a:graphicData uri="http://schemas.openxmlformats.org/drawingml/2006/picture">
                          <pic:pic xmlns:pic="http://schemas.openxmlformats.org/drawingml/2006/picture">
                            <pic:nvPicPr>
                              <pic:cNvPr id="21" name="图片_27"/>
                              <pic:cNvPicPr/>
                              <pic:nvPr/>
                            </pic:nvPicPr>
                            <pic:blipFill>
                              <a:blip r:embed="rId40"/>
                              <a:stretch/>
                            </pic:blipFill>
                            <pic:spPr bwMode="auto">
                              <a:xfrm>
                                <a:off x="0" y="0"/>
                                <a:ext cx="1270000" cy="977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4384;o:allowoverlap:true;o:allowincell:true;mso-position-horizontal-relative:text;margin-left:5.0pt;mso-position-horizontal:absolute;mso-position-vertical-relative:text;margin-top:5.0pt;mso-position-vertical:absolute;width:100.0pt;height:77.0pt;mso-wrap-distance-left:9.0pt;mso-wrap-distance-top:0.0pt;mso-wrap-distance-right:9.0pt;mso-wrap-distance-bottom:0.0pt;" stroked="f">
                      <v:path textboxrect="0,0,0,0"/>
                      <v:imagedata r:id="rId40" o:title=""/>
                    </v:shape>
                  </w:pict>
                </mc:Fallback>
              </mc:AlternateConten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荤菜粗加工</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多功能切菜机 </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1230*580*1280±10%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220V,功率：≥1.5KW,产量：300-1000KG/H,机台骨架均为SUS304不锈钢材质，经久耐用，出料口处有微动开关，操作安全，叶菜类之输送带转刀速度采用变频器控制，独立控制将根茎类切成厚、薄片、丝条、丁等外形。</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1155700"/>
                      <wp:effectExtent l="0" t="0" r="6350" b="6350"/>
                      <wp:wrapNone/>
                      <wp:docPr id="22" name="图片_29"/>
                      <wp:cNvGraphicFramePr/>
                      <a:graphic xmlns:a="http://schemas.openxmlformats.org/drawingml/2006/main">
                        <a:graphicData uri="http://schemas.openxmlformats.org/drawingml/2006/picture">
                          <pic:pic xmlns:pic="http://schemas.openxmlformats.org/drawingml/2006/picture">
                            <pic:nvPicPr>
                              <pic:cNvPr id="22" name="图片_29"/>
                              <pic:cNvPicPr/>
                              <pic:nvPr/>
                            </pic:nvPicPr>
                            <pic:blipFill>
                              <a:blip r:embed="rId41"/>
                              <a:stretch/>
                            </pic:blipFill>
                            <pic:spPr bwMode="auto">
                              <a:xfrm>
                                <a:off x="0" y="0"/>
                                <a:ext cx="1270000" cy="11556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4384;o:allowoverlap:true;o:allowincell:true;mso-position-horizontal-relative:text;margin-left:5.0pt;mso-position-horizontal:absolute;mso-position-vertical-relative:text;margin-top:5.0pt;mso-position-vertical:absolute;width:100.0pt;height:91.0pt;mso-wrap-distance-left:9.0pt;mso-wrap-distance-top:0.0pt;mso-wrap-distance-right:9.0pt;mso-wrap-distance-bottom:0.0pt;" stroked="f">
                      <v:path textboxrect="0,0,0,0"/>
                      <v:imagedata r:id="rId41"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大单星盆台（斜背）</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台面：1.0mm不锈钢板；星盆：1.0mm不锈钢板,斗深300mm；脚管：38*38/厚0.8mm304不锈钢方管，可调子弹脚；配不锈钢沥水器。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23" name="图片_31"/>
                      <wp:cNvGraphicFramePr/>
                      <a:graphic xmlns:a="http://schemas.openxmlformats.org/drawingml/2006/main">
                        <a:graphicData uri="http://schemas.openxmlformats.org/drawingml/2006/picture">
                          <pic:pic xmlns:pic="http://schemas.openxmlformats.org/drawingml/2006/picture">
                            <pic:nvPicPr>
                              <pic:cNvPr id="23" name="图片_31"/>
                              <pic:cNvPicPr/>
                              <pic:nvPr/>
                            </pic:nvPicPr>
                            <pic:blipFill>
                              <a:blip r:embed="rId42"/>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42"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双层带格栅工作台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格栅层板：采用SUS304不锈钢不锈钢板厚度1.0mm；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衬管：采用SUS304不锈钢不锈钢方管20*60*1.0mm；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下层横管：采用SUS304不锈钢不锈钢方管25*50*1.0mm;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脚通：采用SUS304不锈钢不锈钢方管38*38*1.0mm；</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24" name="图片_33"/>
                      <wp:cNvGraphicFramePr/>
                      <a:graphic xmlns:a="http://schemas.openxmlformats.org/drawingml/2006/main">
                        <a:graphicData uri="http://schemas.openxmlformats.org/drawingml/2006/picture">
                          <pic:pic xmlns:pic="http://schemas.openxmlformats.org/drawingml/2006/picture">
                            <pic:nvPicPr>
                              <pic:cNvPr id="24" name="图片_33"/>
                              <pic:cNvPicPr/>
                              <pic:nvPr/>
                            </pic:nvPicPr>
                            <pic:blipFill>
                              <a:blip r:embed="rId43"/>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43"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方脚四层孔板层架</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主材为SUS304不锈钢板，层板采用实际厚度1.0mm不锈钢板制作，横向配宽度为60mm不锈钢加强筋1根，采用点焊机无痕点焊；脚管为φ38*实际厚度0.8mm不锈钢管，脚用不锈钢可调整脚。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25" name="图片_35"/>
                      <wp:cNvGraphicFramePr/>
                      <a:graphic xmlns:a="http://schemas.openxmlformats.org/drawingml/2006/main">
                        <a:graphicData uri="http://schemas.openxmlformats.org/drawingml/2006/picture">
                          <pic:pic xmlns:pic="http://schemas.openxmlformats.org/drawingml/2006/picture">
                            <pic:nvPicPr>
                              <pic:cNvPr id="25" name="图片_35"/>
                              <pic:cNvPicPr/>
                              <pic:nvPr/>
                            </pic:nvPicPr>
                            <pic:blipFill>
                              <a:blip r:embed="rId44"/>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44"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单孔污碟台(方脚斜背）</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700*700*800/150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为SUS304不锈钢板，台面采用实际厚度1.0mm不锈钢板，台面横向、纵向配宽度为80mm不锈钢加强筋2根，采用点焊机无痕点焊，工作台带后背，下层四周围边38*25*实际厚度≥0.68mm的304不锈钢方管，脚管采用38*38*实际厚度0.8mm的304不锈钢方管支撑，脚为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26" name="图片_37"/>
                      <wp:cNvGraphicFramePr/>
                      <a:graphic xmlns:a="http://schemas.openxmlformats.org/drawingml/2006/main">
                        <a:graphicData uri="http://schemas.openxmlformats.org/drawingml/2006/picture">
                          <pic:pic xmlns:pic="http://schemas.openxmlformats.org/drawingml/2006/picture">
                            <pic:nvPicPr>
                              <pic:cNvPr id="26" name="图片_37"/>
                              <pic:cNvPicPr/>
                              <pic:nvPr/>
                            </pic:nvPicPr>
                            <pic:blipFill>
                              <a:blip r:embed="rId45"/>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45" o:title=""/>
                    </v:shape>
                  </w:pict>
                </mc:Fallback>
              </mc:AlternateContent>
            </w:r>
            <w:r/>
          </w:p>
        </w:tc>
      </w:tr>
      <w:tr>
        <w:trPr>
          <w:trHeight w:val="2665"/>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630*760*1950±10%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1、采用不锈钢制作；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2、功率：≥500W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3、电压：220V</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1536700"/>
                      <wp:effectExtent l="0" t="0" r="6350" b="6350"/>
                      <wp:wrapNone/>
                      <wp:docPr id="27" name="图片_39"/>
                      <wp:cNvGraphicFramePr/>
                      <a:graphic xmlns:a="http://schemas.openxmlformats.org/drawingml/2006/main">
                        <a:graphicData uri="http://schemas.openxmlformats.org/drawingml/2006/picture">
                          <pic:pic xmlns:pic="http://schemas.openxmlformats.org/drawingml/2006/picture">
                            <pic:nvPicPr>
                              <pic:cNvPr id="27" name="图片_39"/>
                              <pic:cNvPicPr/>
                              <pic:nvPr/>
                            </pic:nvPicPr>
                            <pic:blipFill>
                              <a:blip r:embed="rId46"/>
                              <a:stretch/>
                            </pic:blipFill>
                            <pic:spPr bwMode="auto">
                              <a:xfrm>
                                <a:off x="0" y="0"/>
                                <a:ext cx="1270000" cy="153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4384;o:allowoverlap:true;o:allowincell:true;mso-position-horizontal-relative:text;margin-left:5.0pt;mso-position-horizontal:absolute;mso-position-vertical-relative:text;margin-top:5.0pt;mso-position-vertical:absolute;width:100.0pt;height:121.0pt;mso-wrap-distance-left:9.0pt;mso-wrap-distance-top:0.0pt;mso-wrap-distance-right:9.0pt;mso-wrap-distance-bottom:0.0pt;" stroked="f">
                      <v:path textboxrect="0,0,0,0"/>
                      <v:imagedata r:id="rId46" o:title=""/>
                    </v:shape>
                  </w:pict>
                </mc:Fallback>
              </mc:AlternateContent>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主食库</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1200*600*300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采用25*38 1.0不锈钢管制作，套橡胶脚套</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28" name="图片_41"/>
                      <wp:cNvGraphicFramePr/>
                      <a:graphic xmlns:a="http://schemas.openxmlformats.org/drawingml/2006/main">
                        <a:graphicData uri="http://schemas.openxmlformats.org/drawingml/2006/picture">
                          <pic:pic xmlns:pic="http://schemas.openxmlformats.org/drawingml/2006/picture">
                            <pic:nvPicPr>
                              <pic:cNvPr id="28" name="图片_41"/>
                              <pic:cNvPicPr/>
                              <pic:nvPr/>
                            </pic:nvPicPr>
                            <pic:blipFill>
                              <a:blip r:embed="rId47"/>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47" o:title=""/>
                    </v:shape>
                  </w:pict>
                </mc:Fallback>
              </mc:AlternateContent>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副食库</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圆脚四层平板层架</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主材为SUS304不锈钢板，层板采用实际厚度1.0mm不锈钢板制作，横向配宽度为60mm不锈钢加强筋1根，采用点焊机无痕点焊；脚管为φ38*实际厚度0.8mm不锈钢管，脚用不锈钢可调整脚。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29" name="图片_43"/>
                      <wp:cNvGraphicFramePr/>
                      <a:graphic xmlns:a="http://schemas.openxmlformats.org/drawingml/2006/main">
                        <a:graphicData uri="http://schemas.openxmlformats.org/drawingml/2006/picture">
                          <pic:pic xmlns:pic="http://schemas.openxmlformats.org/drawingml/2006/picture">
                            <pic:nvPicPr>
                              <pic:cNvPr id="29" name="图片_43"/>
                              <pic:cNvPicPr/>
                              <pic:nvPr/>
                            </pic:nvPicPr>
                            <pic:blipFill>
                              <a:blip r:embed="rId48"/>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48" o:title=""/>
                    </v:shape>
                  </w:pict>
                </mc:Fallback>
              </mc:AlternateConten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主厨房</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96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油烟净化一体机1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7000*1305*1000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1、不锈钢设备壳体，上下分体结构，分为净化主机和吸烟罩，便于包装运输和现场安装。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2、电场为不锈钢材质，耐腐蚀易维护。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3、不锈钢轻质隔水板，过滤大颗粒杂物，使油烟均匀通过电场，提高油烟净化效率。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4、设备安装LED防爆照明灯，耐高温。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5、设备配有低噪音离心式风机，外转子电机性能稳定，出风口可前/后/上三向出风，风机模块独立包装，可在安装现场调整风向；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6、设备面板带有智能LED液晶显示屏（智能控制面板），可一键启动，智能诊断，工作状态显示；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7、所投油烟净化一体机整机参照GB4706.1-2005、GB4706.95-2008标准检测，油烟净化一体机操作系统参照GB/T 25000.51-2016检测；在规定的低电阻试验中，电阻值≤ 0.1Ω，考虑到额定脉冲电压，基本绝缘的电气间隙应承受正常使用中出现的过压≥1.5mm；用户文档完整详细，信息表述正确，与软件功能一致，易理解，可操作，且具有故障原因显示、室内空气检测、燃气泄漏报警联动、联动控制≥10 台产品、设备共享等功能。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8、所投油烟净化一体机整机参照GB/T3482-2008、GB8624-2012、标准检测，重要部件绝缘子参照GB/T 2423.2-2008标准检测；严酷等级≥4级，雷击试验后，设备正常工作；燃烧性能等级达到B2级；重要部件绝缘子将试验样品放入温度为试验室温度的试验箱中,然后将温度调节≥150°C，温度稳定后持续 ≥12小时，试验结束后取出样品恢复 4 小时后观察，陶瓷无溶解、破裂。试验后样品经≥15kV高压试验1min 内无击穿现象</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50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炊用燃气大锅灶（双头）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2000*1200*800+450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额定电压：AC220V-240V，额定频率：50/60Hz，额定热负荷：35kW*2，额定功率：55W*2，额定气压：2.0kPa，中间进气口：DN20，左下排水管：DN25；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2、优质SUS304-2B不锈钢板制造，面板、前脸板厚δ＝1.2mm,台面一次压制成型 ；外旁板、后立板201J1/J4，板厚δ＝1.0mm,龙骨架国标不锈钢方管 25*38厚0.8mm；衬板电解镀锌钢板厚δ＝1.5mm,灶身双层热轧钢板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3、炉膛双层拉伸成型 ，内炉膛采购409不锈钢，厚度2.0外炉膛采用电解镀锌板 ，厚度1.5 一次成型，内外炉膛中间采用 40mm厚陶瓷纤维隔热棉耐高温材料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4、配置全预混式节能炉头 ，36V42W直流风机 ，具备一键启动功能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5、反射体采用厚度 2.0内配稀土贵金属聚能网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6、炊用燃气大锅灶（双头）参照 GB35848-2024《商用燃气燃烧器具》检测，核心配件商用燃气燃烧器具用控制器参照GB/T38603-2020检测，热负荷准确度双头偏差不大于10%，运行噪声双头均≤80dB(A),能源合理利用率双头均≥45%；核心配件商用燃气燃烧器具用控制器：耐热应力后（环境温度），中途清扫时间≤10S、前清扫时间≥10S、后清扫时间≥60S，额定电压暂降30%；预清扫或等候时间、点火安全时间和熄火安全时间、运行状态持续周期≥1，运行次数3次，能正常工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所投炊用燃气大锅灶（双头）整机参照GB/T25000.51-2016《系统与软件工程系统与软件质量要求和评价》标准检测，具有设备使用信息可传送、蓝牙功能、燃气泄漏模块、风机功率调节及转速显示、故障代码提示、火力功率调节及火力显示、火焰检测、节能功能、WIFI远程功能、防干烧功能、流量统计等有效功能，具有有效功能2项</w:t>
            </w:r>
            <w:r/>
          </w:p>
          <w:p>
            <w:pPr>
              <w:numPr>
                <w:ilvl w:val="0"/>
                <w:numId w:val="0"/>
              </w:num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▲炊用燃气大锅灶（双头）需提供3C证书或全国认证认可信息平台查询截图</w:t>
            </w:r>
            <w:r>
              <w:rPr>
                <w:rStyle w:val="1851"/>
                <w:rFonts w:hint="eastAsia" w:ascii="宋体" w:hAnsi="宋体" w:eastAsia="宋体" w:cs="宋体"/>
                <w:color w:val="auto"/>
                <w:sz w:val="20"/>
                <w:szCs w:val="20"/>
                <w:highlight w:val="none"/>
                <w:lang w:val="en-US" w:eastAsia="zh-CN" w:bidi="ar"/>
              </w:rPr>
              <w:t xml:space="preserve">上传至投标文件中并电子签章。</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93980</wp:posOffset>
                      </wp:positionH>
                      <wp:positionV relativeFrom="paragraph">
                        <wp:posOffset>566420</wp:posOffset>
                      </wp:positionV>
                      <wp:extent cx="935990" cy="1198880"/>
                      <wp:effectExtent l="0" t="0" r="16510" b="1270"/>
                      <wp:wrapNone/>
                      <wp:docPr id="30" name="图片_47"/>
                      <wp:cNvGraphicFramePr/>
                      <a:graphic xmlns:a="http://schemas.openxmlformats.org/drawingml/2006/main">
                        <a:graphicData uri="http://schemas.openxmlformats.org/drawingml/2006/picture">
                          <pic:pic xmlns:pic="http://schemas.openxmlformats.org/drawingml/2006/picture">
                            <pic:nvPicPr>
                              <pic:cNvPr id="30" name="图片_47"/>
                              <pic:cNvPicPr/>
                              <pic:nvPr/>
                            </pic:nvPicPr>
                            <pic:blipFill>
                              <a:blip r:embed="rId49"/>
                              <a:stretch/>
                            </pic:blipFill>
                            <pic:spPr bwMode="auto">
                              <a:xfrm>
                                <a:off x="0" y="0"/>
                                <a:ext cx="935990" cy="1198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4384;o:allowoverlap:true;o:allowincell:true;mso-position-horizontal-relative:text;margin-left:7.4pt;mso-position-horizontal:absolute;mso-position-vertical-relative:text;margin-top:44.6pt;mso-position-vertical:absolute;width:73.7pt;height:94.4pt;mso-wrap-distance-left:9.0pt;mso-wrap-distance-top:0.0pt;mso-wrap-distance-right:9.0pt;mso-wrap-distance-bottom:0.0pt;" stroked="f">
                      <v:path textboxrect="0,0,0,0"/>
                      <v:imagedata r:id="rId49"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炉拼台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300*1200*800/450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采用SUS304不锈钢板，厚度δ=1.0mm</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31" name="图片_49"/>
                      <wp:cNvGraphicFramePr/>
                      <a:graphic xmlns:a="http://schemas.openxmlformats.org/drawingml/2006/main">
                        <a:graphicData uri="http://schemas.openxmlformats.org/drawingml/2006/picture">
                          <pic:pic xmlns:pic="http://schemas.openxmlformats.org/drawingml/2006/picture">
                            <pic:nvPicPr>
                              <pic:cNvPr id="31" name="图片_49"/>
                              <pic:cNvPicPr/>
                              <pic:nvPr/>
                            </pic:nvPicPr>
                            <pic:blipFill>
                              <a:blip r:embed="rId50"/>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50"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台面1.0mm，台面内衬18mm防水机制板并用1.0mm厚不锈钢板剪折成加强筋进行加固；背板、侧板1.0mm；受力层板1.2mm；滑槽采用模具整体一次性冲压成型槽，方便清洁防划伤；腿采用不锈钢重力脚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756285" cy="612140"/>
                      <wp:effectExtent l="0" t="0" r="5715" b="16510"/>
                      <wp:wrapNone/>
                      <wp:docPr id="32" name="图片_51"/>
                      <wp:cNvGraphicFramePr/>
                      <a:graphic xmlns:a="http://schemas.openxmlformats.org/drawingml/2006/main">
                        <a:graphicData uri="http://schemas.openxmlformats.org/drawingml/2006/picture">
                          <pic:pic xmlns:pic="http://schemas.openxmlformats.org/drawingml/2006/picture">
                            <pic:nvPicPr>
                              <pic:cNvPr id="32" name="图片_51"/>
                              <pic:cNvPicPr/>
                              <pic:nvPr/>
                            </pic:nvPicPr>
                            <pic:blipFill>
                              <a:blip r:embed="rId51"/>
                              <a:stretch/>
                            </pic:blipFill>
                            <pic:spPr bwMode="auto">
                              <a:xfrm>
                                <a:off x="0" y="0"/>
                                <a:ext cx="756285"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4384;o:allowoverlap:true;o:allowincell:true;mso-position-horizontal-relative:text;margin-left:5.0pt;mso-position-horizontal:absolute;mso-position-vertical-relative:text;margin-top:5.0pt;mso-position-vertical:absolute;width:59.5pt;height:48.2pt;mso-wrap-distance-left:9.0pt;mso-wrap-distance-top:0.0pt;mso-wrap-distance-right:9.0pt;mso-wrap-distance-bottom:0.0pt;" stroked="f">
                      <v:path textboxrect="0,0,0,0"/>
                      <v:imagedata r:id="rId51"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双层带格栅工作台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格栅层板：采用SUS304不锈钢不锈钢板厚度1.0mm；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衬管：采用SUS304不锈钢不锈钢方管20*60*1.0mm；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下层横管：采用SUS304不锈钢不锈钢方管25*50*1.0mm;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脚通：采用SUS304不锈钢不锈钢方管38*38*1.0mm；</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899795" cy="824865"/>
                      <wp:effectExtent l="0" t="0" r="14604" b="13335"/>
                      <wp:wrapNone/>
                      <wp:docPr id="33" name="图片_53"/>
                      <wp:cNvGraphicFramePr/>
                      <a:graphic xmlns:a="http://schemas.openxmlformats.org/drawingml/2006/main">
                        <a:graphicData uri="http://schemas.openxmlformats.org/drawingml/2006/picture">
                          <pic:pic xmlns:pic="http://schemas.openxmlformats.org/drawingml/2006/picture">
                            <pic:nvPicPr>
                              <pic:cNvPr id="33" name="图片_53"/>
                              <pic:cNvPicPr/>
                              <pic:nvPr/>
                            </pic:nvPicPr>
                            <pic:blipFill>
                              <a:blip r:embed="rId52"/>
                              <a:stretch/>
                            </pic:blipFill>
                            <pic:spPr bwMode="auto">
                              <a:xfrm>
                                <a:off x="0" y="0"/>
                                <a:ext cx="899795"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4384;o:allowoverlap:true;o:allowincell:true;mso-position-horizontal-relative:text;margin-left:5.0pt;mso-position-horizontal:absolute;mso-position-vertical-relative:text;margin-top:5.0pt;mso-position-vertical:absolute;width:70.8pt;height:65.0pt;mso-wrap-distance-left:9.0pt;mso-wrap-distance-top:0.0pt;mso-wrap-distance-right:9.0pt;mso-wrap-distance-bottom:0.0pt;" stroked="f">
                      <v:path textboxrect="0,0,0,0"/>
                      <v:imagedata r:id="rId52" o:title=""/>
                    </v:shape>
                  </w:pict>
                </mc:Fallback>
              </mc:AlternateConten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燃气摇摆汤锅</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1650*1100*1090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额定电压：AC220V-240V，额定频率：50/60Hz，额定热负荷：35kW，额定气压：2.0kPa，容量：100L/200L/300L ，进气口：DN20；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2、优质SUS304-2B不锈钢板制造，配备不锈钢大锅 ，炉膛内部隔热层厚 50,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3、配全预混式节能炉头 ，36V42W直流风机 ，一键启动；专用转动手柄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4、所投燃气摇摆汤锅参照 GB35848-2024《商用燃气燃烧器具》检测，核心配件燃气燃烧器具用自动截止阀参照GB/T37499-2019标准检测；热负荷准确度偏差不大于10%，运行噪声≤80dB(A),干烟气中CO(a=1)%≤0.1，特殊工况下CO(a=1)含量%黄焰燃烧≤0.2，脱火燃烧≤0.2，能源合理利用率≥50%；核心配件燃气燃烧器具用自动截止阀额定流量≥0.95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所投燃气摇摆汤锅整机参照GB/T25000.51-2016《系统与软件工程系统与软件质量要求和评价》标准检测，具有设备使用信息可传送、蓝牙功能、燃气泄漏模块、风机功率调节及转速显示、故障代码提示、火力功率调节及火力显示、火焰检测、节能功能、WIFI远程功能、防干烧功能、流量统计等有效功能，具有有效功能2项</w:t>
            </w:r>
            <w:r/>
          </w:p>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▲燃气摇摆汤锅需提供3C证书或全国认证认可信息平台查询截图</w:t>
            </w:r>
            <w:r>
              <w:rPr>
                <w:rStyle w:val="1851"/>
                <w:rFonts w:hint="eastAsia" w:ascii="宋体" w:hAnsi="宋体" w:eastAsia="宋体" w:cs="宋体"/>
                <w:color w:val="auto"/>
                <w:sz w:val="20"/>
                <w:szCs w:val="20"/>
                <w:highlight w:val="none"/>
                <w:lang w:val="en-US" w:eastAsia="zh-CN" w:bidi="ar"/>
              </w:rPr>
              <w:t xml:space="preserve">上传至投标文件中并电子签章。</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193040</wp:posOffset>
                      </wp:positionH>
                      <wp:positionV relativeFrom="paragraph">
                        <wp:posOffset>71120</wp:posOffset>
                      </wp:positionV>
                      <wp:extent cx="1140460" cy="1186180"/>
                      <wp:effectExtent l="0" t="0" r="2540" b="13970"/>
                      <wp:wrapNone/>
                      <wp:docPr id="34" name="图片_55"/>
                      <wp:cNvGraphicFramePr/>
                      <a:graphic xmlns:a="http://schemas.openxmlformats.org/drawingml/2006/main">
                        <a:graphicData uri="http://schemas.openxmlformats.org/drawingml/2006/picture">
                          <pic:pic xmlns:pic="http://schemas.openxmlformats.org/drawingml/2006/picture">
                            <pic:nvPicPr>
                              <pic:cNvPr id="34" name="图片_55"/>
                              <pic:cNvPicPr/>
                              <pic:nvPr/>
                            </pic:nvPicPr>
                            <pic:blipFill>
                              <a:blip r:embed="rId53"/>
                              <a:stretch/>
                            </pic:blipFill>
                            <pic:spPr bwMode="auto">
                              <a:xfrm>
                                <a:off x="0" y="0"/>
                                <a:ext cx="1140460" cy="1186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4384;o:allowoverlap:true;o:allowincell:true;mso-position-horizontal-relative:text;margin-left:15.2pt;mso-position-horizontal:absolute;mso-position-vertical-relative:text;margin-top:5.6pt;mso-position-vertical:absolute;width:89.8pt;height:93.4pt;mso-wrap-distance-left:9.0pt;mso-wrap-distance-top:0.0pt;mso-wrap-distance-right:9.0pt;mso-wrap-distance-bottom:0.0pt;" stroked="f">
                      <v:path textboxrect="0,0,0,0"/>
                      <v:imagedata r:id="rId53" o:title=""/>
                    </v:shape>
                  </w:pict>
                </mc:Fallback>
              </mc:AlternateContent>
            </w:r>
            <w:r/>
          </w:p>
        </w:tc>
      </w:tr>
      <w:tr>
        <w:trPr>
          <w:trHeight w:val="655"/>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油烟净化一体机2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6000*1305*1000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1、不锈钢设备壳体，上下分体结构，分为净化主机和吸烟罩，便于包装运输和现场安装。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2、电场为不锈钢材质，耐腐蚀易维护。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3、不锈钢轻质隔水板，过滤大颗粒杂物，使油烟均匀通过电场，提高油烟净化效率。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4、设备安装LED防爆照明灯，耐高温。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5、设备配有低噪音离心式风机，外转子电机性能稳定，出风口可前/后/上三向出风，风机模块独立包装，可在安装现场调整风向；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6、设备面板带有智能LED液晶显示屏（智能控制面板），可一键启动，智能诊断，工作状态显示；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7、所投油烟净化一体机整机参照GB4706.1-2005、GB4706.95-2008标准检测，油烟净化一体机操作系统参照GB/T 25000.51-2016检测；在规定的低电阻试验中，电阻值≤ 0.1Ω，考虑到额定脉冲电压，基本绝缘的电气间隙应承受正常使用中出现的过压≥1.5mm；用户文档完整详细，信息表述正确，与软件功能一致，易理解，可操作，且具有故障原因显示、室内空气检测、燃气泄漏报警联动、联动控制≥10 台产品、设备共享等功能。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8、所投油烟净化一体机整机参照GB/T3482-2008、GB8624-2012、标准检测，重要部件绝缘子参照GB/T 2423.2-2008标准检测；严酷等级≥4级，雷击试验后，设备正常工作；燃烧性能等级达到B2级；重要部件绝缘子将试验样品放入温度为试验室温度的试验箱中,然后将温度调节≥150°C，温度稳定后持续 ≥12小时，试验结束后取出样品恢复 4 小时后观察，陶瓷无溶解、破裂。试验后样品经≥15kV高压试验1min 内无击穿现象</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93"/>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双门双控蒸饭柜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 盘</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 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1、自动进水；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2、蒸饭车用不锈钢制作，通过发热管产生的蒸汽在密封的箱体内快速炖盒饭、蒸盘饭。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3、蒸饭车装有自动泄压装置；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4、蒸饭车车门开关灵活，取饭方便，保温性能好；且用不锈钢板制作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5、设备轮，配有滚珠轴承扁轮，防油脂橡胶或氯丁（二烯）橡胶及自动 电压：380V 功率：24KW</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269875</wp:posOffset>
                      </wp:positionH>
                      <wp:positionV relativeFrom="paragraph">
                        <wp:posOffset>18415</wp:posOffset>
                      </wp:positionV>
                      <wp:extent cx="859155" cy="828675"/>
                      <wp:effectExtent l="0" t="0" r="17145" b="9525"/>
                      <wp:wrapNone/>
                      <wp:docPr id="35" name="图片_122"/>
                      <wp:cNvGraphicFramePr/>
                      <a:graphic xmlns:a="http://schemas.openxmlformats.org/drawingml/2006/main">
                        <a:graphicData uri="http://schemas.openxmlformats.org/drawingml/2006/picture">
                          <pic:pic xmlns:pic="http://schemas.openxmlformats.org/drawingml/2006/picture">
                            <pic:nvPicPr>
                              <pic:cNvPr id="35" name="图片_122"/>
                              <pic:cNvPicPr/>
                              <pic:nvPr/>
                            </pic:nvPicPr>
                            <pic:blipFill>
                              <a:blip r:embed="rId54"/>
                              <a:stretch/>
                            </pic:blipFill>
                            <pic:spPr bwMode="auto">
                              <a:xfrm>
                                <a:off x="0" y="0"/>
                                <a:ext cx="859155"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4384;o:allowoverlap:true;o:allowincell:true;mso-position-horizontal-relative:text;margin-left:21.2pt;mso-position-horizontal:absolute;mso-position-vertical-relative:text;margin-top:1.4pt;mso-position-vertical:absolute;width:67.6pt;height:65.2pt;mso-wrap-distance-left:9.0pt;mso-wrap-distance-top:0.0pt;mso-wrap-distance-right:9.0pt;mso-wrap-distance-bottom:0.0pt;" stroked="f">
                      <v:path textboxrect="0,0,0,0"/>
                      <v:imagedata r:id="rId54"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靠墙型油网烟罩</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6421*1200*550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采用SUS304不锈钢板材；油烟罩、滑槽采用1.0mm不锈钢板；吸烟网片采用0.8mm不锈钢板配有LED防爆灯、油杯。</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36" name="图片_61"/>
                      <wp:cNvGraphicFramePr/>
                      <a:graphic xmlns:a="http://schemas.openxmlformats.org/drawingml/2006/main">
                        <a:graphicData uri="http://schemas.openxmlformats.org/drawingml/2006/picture">
                          <pic:pic xmlns:pic="http://schemas.openxmlformats.org/drawingml/2006/picture">
                            <pic:nvPicPr>
                              <pic:cNvPr id="36" name="图片_61"/>
                              <pic:cNvPicPr/>
                              <pic:nvPr/>
                            </pic:nvPicPr>
                            <pic:blipFill>
                              <a:blip r:embed="rId55"/>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55"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双层带格栅工作台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格栅层板：采用SUS304不锈钢不锈钢板厚度1.0mm；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衬管：采用SUS304不锈钢不锈钢方管20*60*1.0mm；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下层横管：采用SUS304不锈钢不锈钢方管25*50*1.0mm;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脚通：采用SUS304不锈钢不锈钢方管38*38*1.0mm；</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37" name="图片_63"/>
                      <wp:cNvGraphicFramePr/>
                      <a:graphic xmlns:a="http://schemas.openxmlformats.org/drawingml/2006/main">
                        <a:graphicData uri="http://schemas.openxmlformats.org/drawingml/2006/picture">
                          <pic:pic xmlns:pic="http://schemas.openxmlformats.org/drawingml/2006/picture">
                            <pic:nvPicPr>
                              <pic:cNvPr id="37" name="图片_63"/>
                              <pic:cNvPicPr/>
                              <pic:nvPr/>
                            </pic:nvPicPr>
                            <pic:blipFill>
                              <a:blip r:embed="rId56"/>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56"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靠墙型油网烟罩</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4811*1200*550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采用SUS304不锈钢板材；油烟罩、滑槽采用1.0mm不锈钢板；吸烟网片采用0.8mm不锈钢板配有LED防爆灯、油杯。</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38" name="图片_65"/>
                      <wp:cNvGraphicFramePr/>
                      <a:graphic xmlns:a="http://schemas.openxmlformats.org/drawingml/2006/main">
                        <a:graphicData uri="http://schemas.openxmlformats.org/drawingml/2006/picture">
                          <pic:pic xmlns:pic="http://schemas.openxmlformats.org/drawingml/2006/picture">
                            <pic:nvPicPr>
                              <pic:cNvPr id="38" name="图片_65"/>
                              <pic:cNvPicPr/>
                              <pic:nvPr/>
                            </pic:nvPicPr>
                            <pic:blipFill>
                              <a:blip r:embed="rId57"/>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57"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台面：1.0mm不锈钢板；星盆：1.0mm不锈钢板,斗深300mm；脚管：38*38/厚0.8mm304不锈钢方管，可调子弹脚；配不锈钢沥水器。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39" name="图片_67"/>
                      <wp:cNvGraphicFramePr/>
                      <a:graphic xmlns:a="http://schemas.openxmlformats.org/drawingml/2006/main">
                        <a:graphicData uri="http://schemas.openxmlformats.org/drawingml/2006/picture">
                          <pic:pic xmlns:pic="http://schemas.openxmlformats.org/drawingml/2006/picture">
                            <pic:nvPicPr>
                              <pic:cNvPr id="39" name="图片_67"/>
                              <pic:cNvPicPr/>
                              <pic:nvPr/>
                            </pic:nvPicPr>
                            <pic:blipFill>
                              <a:blip r:embed="rId58"/>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58"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圆形泡菜池</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1200*1200*800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台面：1.0mm不锈钢板；内斗：1.0mm不锈钢板,斗深500mm；脚管：直径50/厚0.8mm304不锈钢方管，可调子弹脚；配不锈钢出米口。</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40" name="图片_69"/>
                      <wp:cNvGraphicFramePr/>
                      <a:graphic xmlns:a="http://schemas.openxmlformats.org/drawingml/2006/main">
                        <a:graphicData uri="http://schemas.openxmlformats.org/drawingml/2006/picture">
                          <pic:pic xmlns:pic="http://schemas.openxmlformats.org/drawingml/2006/picture">
                            <pic:nvPicPr>
                              <pic:cNvPr id="40" name="图片_69"/>
                              <pic:cNvPicPr/>
                              <pic:nvPr/>
                            </pic:nvPicPr>
                            <pic:blipFill>
                              <a:blip r:embed="rId59"/>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59" o:title=""/>
                    </v:shape>
                  </w:pict>
                </mc:Fallback>
              </mc:AlternateContent>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备餐间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单通暖碟台（上掀门）</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台面1.0mm，台面内衬18mm防水机制板并用1.0mm厚不锈钢板剪折成加强筋进行加固；背板、侧板1.0mm；受力层板1.2mm；滑槽采用模具整体一次性冲压成型槽，方便清洁防划伤；腿采用不锈钢重力脚，热风功率2.5KW</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935990" cy="824865"/>
                      <wp:effectExtent l="0" t="0" r="16510" b="13335"/>
                      <wp:wrapNone/>
                      <wp:docPr id="41" name="图片_71"/>
                      <wp:cNvGraphicFramePr/>
                      <a:graphic xmlns:a="http://schemas.openxmlformats.org/drawingml/2006/main">
                        <a:graphicData uri="http://schemas.openxmlformats.org/drawingml/2006/picture">
                          <pic:pic xmlns:pic="http://schemas.openxmlformats.org/drawingml/2006/picture">
                            <pic:nvPicPr>
                              <pic:cNvPr id="41" name="图片_71"/>
                              <pic:cNvPicPr/>
                              <pic:nvPr/>
                            </pic:nvPicPr>
                            <pic:blipFill>
                              <a:blip r:embed="rId60"/>
                              <a:stretch/>
                            </pic:blipFill>
                            <pic:spPr bwMode="auto">
                              <a:xfrm>
                                <a:off x="0" y="0"/>
                                <a:ext cx="93599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4384;o:allowoverlap:true;o:allowincell:true;mso-position-horizontal-relative:text;margin-left:5.0pt;mso-position-horizontal:absolute;mso-position-vertical-relative:text;margin-top:5.0pt;mso-position-vertical:absolute;width:73.7pt;height:65.0pt;mso-wrap-distance-left:9.0pt;mso-wrap-distance-top:0.0pt;mso-wrap-distance-right:9.0pt;mso-wrap-distance-bottom:0.0pt;" stroked="f">
                      <v:path textboxrect="0,0,0,0"/>
                      <v:imagedata r:id="rId60"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单门宴会保温车</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1000*680*890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主材为SUS304不锈钢，内胆、外壳采用1.0mm不锈钢板制作，搁条用1.0mm不锈钢板制作，搁条焊接点要密；内胆与外壳之间采用优质隔热材料隔热；配备盘为0.8mm不锈钢板制作；装有自动补水装置；采用电加热。</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332740</wp:posOffset>
                      </wp:positionH>
                      <wp:positionV relativeFrom="paragraph">
                        <wp:posOffset>47625</wp:posOffset>
                      </wp:positionV>
                      <wp:extent cx="1000760" cy="799465"/>
                      <wp:effectExtent l="0" t="0" r="8890" b="635"/>
                      <wp:wrapNone/>
                      <wp:docPr id="42" name="图片_126"/>
                      <wp:cNvGraphicFramePr/>
                      <a:graphic xmlns:a="http://schemas.openxmlformats.org/drawingml/2006/main">
                        <a:graphicData uri="http://schemas.openxmlformats.org/drawingml/2006/picture">
                          <pic:pic xmlns:pic="http://schemas.openxmlformats.org/drawingml/2006/picture">
                            <pic:nvPicPr>
                              <pic:cNvPr id="42" name="图片_126"/>
                              <pic:cNvPicPr/>
                              <pic:nvPr/>
                            </pic:nvPicPr>
                            <pic:blipFill>
                              <a:blip r:embed="rId61"/>
                              <a:stretch/>
                            </pic:blipFill>
                            <pic:spPr bwMode="auto">
                              <a:xfrm>
                                <a:off x="0" y="0"/>
                                <a:ext cx="1000760"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4384;o:allowoverlap:true;o:allowincell:true;mso-position-horizontal-relative:text;margin-left:26.2pt;mso-position-horizontal:absolute;mso-position-vertical-relative:text;margin-top:3.8pt;mso-position-vertical:absolute;width:78.8pt;height:62.9pt;mso-wrap-distance-left:9.0pt;mso-wrap-distance-top:0.0pt;mso-wrap-distance-right:9.0pt;mso-wrap-distance-bottom:0.0pt;" stroked="f">
                      <v:path textboxrect="0,0,0,0"/>
                      <v:imagedata r:id="rId61"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1600*700*800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采用SUS304不锈钢板：台面1.0mm不锈钢，外1.0mm不锈钢，内池1.0mm不锈钢，1.0mm钢筋，优质不锈钢电热管，配有水，排污阀，可调温度控制器 ，双通道加热模式，两头配两套热风系统，通过脚＃38mm * 1.0mm不锈钢，不锈钢可调脚功率：≥3KW / 220V</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43" name="图片_75"/>
                      <wp:cNvGraphicFramePr/>
                      <a:graphic xmlns:a="http://schemas.openxmlformats.org/drawingml/2006/main">
                        <a:graphicData uri="http://schemas.openxmlformats.org/drawingml/2006/picture">
                          <pic:pic xmlns:pic="http://schemas.openxmlformats.org/drawingml/2006/picture">
                            <pic:nvPicPr>
                              <pic:cNvPr id="43" name="图片_75"/>
                              <pic:cNvPicPr/>
                              <pic:nvPr/>
                            </pic:nvPicPr>
                            <pic:blipFill>
                              <a:blip r:embed="rId62"/>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62"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双玻璃门展示柜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1200*750*1950±10%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1、制冷方式：直冷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2、噪声值：&lt;38db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3、3D立体循环，双层钢化真空玻璃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4、微电脑智能温控</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281940</wp:posOffset>
                      </wp:positionH>
                      <wp:positionV relativeFrom="paragraph">
                        <wp:posOffset>149225</wp:posOffset>
                      </wp:positionV>
                      <wp:extent cx="637540" cy="849630"/>
                      <wp:effectExtent l="0" t="0" r="10160" b="7620"/>
                      <wp:wrapNone/>
                      <wp:docPr id="44" name="图片_12"/>
                      <wp:cNvGraphicFramePr/>
                      <a:graphic xmlns:a="http://schemas.openxmlformats.org/drawingml/2006/main">
                        <a:graphicData uri="http://schemas.openxmlformats.org/drawingml/2006/picture">
                          <pic:pic xmlns:pic="http://schemas.openxmlformats.org/drawingml/2006/picture">
                            <pic:nvPicPr>
                              <pic:cNvPr id="44" name="图片_12"/>
                              <pic:cNvPicPr/>
                              <pic:nvPr/>
                            </pic:nvPicPr>
                            <pic:blipFill>
                              <a:blip r:embed="rId63"/>
                              <a:stretch/>
                            </pic:blipFill>
                            <pic:spPr bwMode="auto">
                              <a:xfrm>
                                <a:off x="0" y="0"/>
                                <a:ext cx="637540" cy="84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4384;o:allowoverlap:true;o:allowincell:true;mso-position-horizontal-relative:text;margin-left:22.2pt;mso-position-horizontal:absolute;mso-position-vertical-relative:text;margin-top:11.8pt;mso-position-vertical:absolute;width:50.2pt;height:66.9pt;mso-wrap-distance-left:9.0pt;mso-wrap-distance-top:0.0pt;mso-wrap-distance-right:9.0pt;mso-wrap-distance-bottom:0.0pt;" stroked="f">
                      <v:path textboxrect="0,0,0,0"/>
                      <v:imagedata r:id="rId63" o:title=""/>
                    </v:shape>
                  </w:pict>
                </mc:Fallback>
              </mc:AlternateContent>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60L</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电压：3N-380V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1.每小时出水量：≥80L /h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2.单次大出水量：≥15L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3.内外胆采用全不锈钢板制作，配380V不锈钢电热管，配自动进水1套，断水装置1套，配温度表、电源指示灯；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4.座架采用1.0mm不锈钢板制作，脚用Ф32*1.0mm不锈钢圆管。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215900</wp:posOffset>
                      </wp:positionH>
                      <wp:positionV relativeFrom="paragraph">
                        <wp:posOffset>158750</wp:posOffset>
                      </wp:positionV>
                      <wp:extent cx="402590" cy="683895"/>
                      <wp:effectExtent l="0" t="0" r="16510" b="1905"/>
                      <wp:wrapNone/>
                      <wp:docPr id="45" name="图片_134"/>
                      <wp:cNvGraphicFramePr/>
                      <a:graphic xmlns:a="http://schemas.openxmlformats.org/drawingml/2006/main">
                        <a:graphicData uri="http://schemas.openxmlformats.org/drawingml/2006/picture">
                          <pic:pic xmlns:pic="http://schemas.openxmlformats.org/drawingml/2006/picture">
                            <pic:nvPicPr>
                              <pic:cNvPr id="45" name="图片_134"/>
                              <pic:cNvPicPr/>
                              <pic:nvPr/>
                            </pic:nvPicPr>
                            <pic:blipFill>
                              <a:blip r:embed="rId64"/>
                              <a:stretch/>
                            </pic:blipFill>
                            <pic:spPr bwMode="auto">
                              <a:xfrm>
                                <a:off x="0" y="0"/>
                                <a:ext cx="402590" cy="68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4384;o:allowoverlap:true;o:allowincell:true;mso-position-horizontal-relative:text;margin-left:17.0pt;mso-position-horizontal:absolute;mso-position-vertical-relative:text;margin-top:12.5pt;mso-position-vertical:absolute;width:31.7pt;height:53.8pt;mso-wrap-distance-left:9.0pt;mso-wrap-distance-top:0.0pt;mso-wrap-distance-right:9.0pt;mso-wrap-distance-bottom:0.0pt;" stroked="f">
                      <v:path textboxrect="0,0,0,0"/>
                      <v:imagedata r:id="rId64" o:title=""/>
                    </v:shape>
                  </w:pict>
                </mc:Fallback>
              </mc:AlternateContent>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4700*850*1960±10%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加热方式：电加热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洗涤量：≥2500碟/小时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功能段：进端+清洗区+漂洗区+烘干区+出端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洗碗机清洗后的餐具卫生指标和残留细菌指标要求达到国家食品卫生标准和规范的要求。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具体的性能及参数：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1.洗碗机分段：入口区、主洗区、漂洗区（高温漂洗、高压漂洗）、烘干区、出口区；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2.输送链排装置采用耐热、耐腐蚀、卫生无毒、强度高造型美观的工程塑料网爪，适用范围广。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3.配置出口限位，开门水泵停止运行，防飞溅，电机过载保护等多重安全保护设置,更具人性化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4.洗涤烘干于一体，自动化程度高。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5.双道喷淋系统，入口端配置抽屉式接渣过滤装置，并且抽屉滤网在机器运行过程中也能够及时取出进行清洁。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6.耗水量：350-400L/小时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7.最大清洗高度:≥400mm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8.网带有效宽度：≥450mm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电加热功率：380V，≥60KW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9、所投长龙洗碗机参照GB/T17</w:t>
            </w:r>
            <w:r>
              <w:rPr>
                <w:rFonts w:hint="eastAsia" w:ascii="宋体" w:hAnsi="宋体" w:eastAsia="宋体" w:cs="宋体"/>
                <w:i w:val="0"/>
                <w:iCs w:val="0"/>
                <w:color w:val="000000"/>
                <w:sz w:val="20"/>
                <w:szCs w:val="20"/>
                <w:u w:val="none"/>
                <w:lang w:val="en-US" w:eastAsia="zh-CN" w:bidi="ar"/>
              </w:rPr>
              <w:t xml:space="preserve">626.2-2018、GB/T4343.2-2020、GB/T17626.3-2023、GB4343.1-2024、GB/T17626.4-2018、GB/T17626.5-2019、GB/T17799.1-2017标准检测，断续骚扰电压试验：短、中、长喀呖声数（150KHZ、500KHZ、1.4MHZ、30MHZ），2秒钟内产生2个喀呖声；静电放电抗扰度试验：（接触放电，放电电压±4KV，实验结果为C级，垂直耦合板的间接放电，放电电压±4KV，实验结果为C级，空气放电，放电电压±8KV，实验结果为C级）；</w:t>
            </w:r>
            <w:r>
              <w:rPr>
                <w:rFonts w:hint="eastAsia" w:ascii="宋体" w:hAnsi="宋体" w:eastAsia="宋体" w:cs="宋体"/>
                <w:i w:val="0"/>
                <w:iCs w:val="0"/>
                <w:color w:val="000000"/>
                <w:sz w:val="20"/>
                <w:szCs w:val="20"/>
                <w:u w:val="none"/>
                <w:lang w:val="en-US" w:eastAsia="zh-CN" w:bidi="ar"/>
              </w:rPr>
              <w:t xml:space="preserve">电快速瞬变脉冲群抗扰度试验：交流电源的输入端，耦合电压±1KV，脉冲重复频率5KHZ，试验结果为C；浪涌抗扰度试验；交流电源输入端（L1-L2）线、交流电源输入端（L1-L3）线、交流电源输入端（L2-L3）线、交流电源输入端（L1-N）线，耦合电压±1KV，试验结果（0°、90°、180°、270°）为C；射频电磁场辐射抗扰度试验；水平、垂直施加EUT方向（0°、90°、180°、270°），试验等级3V/m，频率范围1.4GHZ-2GHZ,调试方式1KHZ AM80%正弦波，驻留时间3S，试验结果为C </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1536700"/>
                      <wp:effectExtent l="0" t="0" r="6350" b="6350"/>
                      <wp:wrapNone/>
                      <wp:docPr id="46" name="图片_81"/>
                      <wp:cNvGraphicFramePr/>
                      <a:graphic xmlns:a="http://schemas.openxmlformats.org/drawingml/2006/main">
                        <a:graphicData uri="http://schemas.openxmlformats.org/drawingml/2006/picture">
                          <pic:pic xmlns:pic="http://schemas.openxmlformats.org/drawingml/2006/picture">
                            <pic:nvPicPr>
                              <pic:cNvPr id="46" name="图片_81"/>
                              <pic:cNvPicPr/>
                              <pic:nvPr/>
                            </pic:nvPicPr>
                            <pic:blipFill>
                              <a:blip r:embed="rId65"/>
                              <a:stretch/>
                            </pic:blipFill>
                            <pic:spPr bwMode="auto">
                              <a:xfrm>
                                <a:off x="0" y="0"/>
                                <a:ext cx="1270000" cy="153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4384;o:allowoverlap:true;o:allowincell:true;mso-position-horizontal-relative:text;margin-left:5.0pt;mso-position-horizontal:absolute;mso-position-vertical-relative:text;margin-top:5.0pt;mso-position-vertical:absolute;width:100.0pt;height:121.0pt;mso-wrap-distance-left:9.0pt;mso-wrap-distance-top:0.0pt;mso-wrap-distance-right:9.0pt;mso-wrap-distance-bottom:0.0pt;" stroked="f">
                      <v:path textboxrect="0,0,0,0"/>
                      <v:imagedata r:id="rId65"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 台面：1.0mm不锈钢板；星盆：1.0mm不锈钢板,斗深300mm；脚管：38*38/厚0.8mm304不锈钢方管，可调子弹脚；配不锈钢沥水器。</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47" name="图片_83"/>
                      <wp:cNvGraphicFramePr/>
                      <a:graphic xmlns:a="http://schemas.openxmlformats.org/drawingml/2006/main">
                        <a:graphicData uri="http://schemas.openxmlformats.org/drawingml/2006/picture">
                          <pic:pic xmlns:pic="http://schemas.openxmlformats.org/drawingml/2006/picture">
                            <pic:nvPicPr>
                              <pic:cNvPr id="47" name="图片_83"/>
                              <pic:cNvPicPr/>
                              <pic:nvPr/>
                            </pic:nvPicPr>
                            <pic:blipFill>
                              <a:blip r:embed="rId66"/>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66"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洗碗机牛耳烟罩（方孔）</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450*702*400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采用SUS304不锈钢板材；油烟罩、滑槽采用1.0mm不锈钢板；吸烟网片采用0.8mm不锈钢板。</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48" name="图片_85"/>
                      <wp:cNvGraphicFramePr/>
                      <a:graphic xmlns:a="http://schemas.openxmlformats.org/drawingml/2006/main">
                        <a:graphicData uri="http://schemas.openxmlformats.org/drawingml/2006/picture">
                          <pic:pic xmlns:pic="http://schemas.openxmlformats.org/drawingml/2006/picture">
                            <pic:nvPicPr>
                              <pic:cNvPr id="48" name="图片_85"/>
                              <pic:cNvPicPr/>
                              <pic:nvPr/>
                            </pic:nvPicPr>
                            <pic:blipFill>
                              <a:blip r:embed="rId67"/>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67" o:title=""/>
                    </v:shape>
                  </w:pict>
                </mc:Fallback>
              </mc:AlternateContent>
            </w:r>
            <w:r/>
          </w:p>
        </w:tc>
      </w:tr>
      <w:tr>
        <w:trPr>
          <w:trHeight w:val="27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鼓泡预洗池</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1、一键式操作面板，LED温度显示设计；钢板采用国内优质板材含8个镍的304国标钢（1.0-3.0mm)；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2、功率:≥ 5KW/220V ；</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3、选用超声波振子除油去污，再加上电热丝辅助设备，清洗的效果好。</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139065</wp:posOffset>
                      </wp:positionH>
                      <wp:positionV relativeFrom="paragraph">
                        <wp:posOffset>145415</wp:posOffset>
                      </wp:positionV>
                      <wp:extent cx="1194435" cy="1391285"/>
                      <wp:effectExtent l="0" t="0" r="5715" b="18415"/>
                      <wp:wrapNone/>
                      <wp:docPr id="49" name="图片_130"/>
                      <wp:cNvGraphicFramePr/>
                      <a:graphic xmlns:a="http://schemas.openxmlformats.org/drawingml/2006/main">
                        <a:graphicData uri="http://schemas.openxmlformats.org/drawingml/2006/picture">
                          <pic:pic xmlns:pic="http://schemas.openxmlformats.org/drawingml/2006/picture">
                            <pic:nvPicPr>
                              <pic:cNvPr id="49" name="图片_130"/>
                              <pic:cNvPicPr/>
                              <pic:nvPr/>
                            </pic:nvPicPr>
                            <pic:blipFill>
                              <a:blip r:embed="rId68"/>
                              <a:stretch/>
                            </pic:blipFill>
                            <pic:spPr bwMode="auto">
                              <a:xfrm>
                                <a:off x="0" y="0"/>
                                <a:ext cx="1194435" cy="139128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4384;o:allowoverlap:true;o:allowincell:true;mso-position-horizontal-relative:text;margin-left:10.9pt;mso-position-horizontal:absolute;mso-position-vertical-relative:text;margin-top:11.4pt;mso-position-vertical:absolute;width:94.0pt;height:109.5pt;mso-wrap-distance-left:9.0pt;mso-wrap-distance-top:0.0pt;mso-wrap-distance-right:9.0pt;mso-wrap-distance-bottom:0.0pt;" stroked="f">
                      <v:path textboxrect="0,0,0,0"/>
                      <v:imagedata r:id="rId68" o:title=""/>
                    </v:shape>
                  </w:pict>
                </mc:Fallback>
              </mc:AlternateContent>
            </w:r>
            <w:r/>
          </w:p>
        </w:tc>
      </w:tr>
      <w:tr>
        <w:trPr>
          <w:trHeight w:val="766"/>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1310*700*1980±10%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1、采用不锈钢制做;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2、整机采用整体发泡工艺，耐高温门封工艺，隔热保温，节能卫生;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3、热风循环系统，高温消毒无死角;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4、设有可调温控器，对所需温度随意调节;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5、带有可调定时器功能，灵活定时;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6、功率：≥3000W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7、容量：≥650L</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1536700"/>
                      <wp:effectExtent l="0" t="0" r="6350" b="6350"/>
                      <wp:wrapNone/>
                      <wp:docPr id="50" name="图片_91"/>
                      <wp:cNvGraphicFramePr/>
                      <a:graphic xmlns:a="http://schemas.openxmlformats.org/drawingml/2006/main">
                        <a:graphicData uri="http://schemas.openxmlformats.org/drawingml/2006/picture">
                          <pic:pic xmlns:pic="http://schemas.openxmlformats.org/drawingml/2006/picture">
                            <pic:nvPicPr>
                              <pic:cNvPr id="50" name="图片_91"/>
                              <pic:cNvPicPr/>
                              <pic:nvPr/>
                            </pic:nvPicPr>
                            <pic:blipFill>
                              <a:blip r:embed="rId69"/>
                              <a:stretch/>
                            </pic:blipFill>
                            <pic:spPr bwMode="auto">
                              <a:xfrm>
                                <a:off x="0" y="0"/>
                                <a:ext cx="1270000" cy="153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4384;o:allowoverlap:true;o:allowincell:true;mso-position-horizontal-relative:text;margin-left:5.0pt;mso-position-horizontal:absolute;mso-position-vertical-relative:text;margin-top:5.0pt;mso-position-vertical:absolute;width:100.0pt;height:121.0pt;mso-wrap-distance-left:9.0pt;mso-wrap-distance-top:0.0pt;mso-wrap-distance-right:9.0pt;mso-wrap-distance-bottom:0.0pt;" stroked="f">
                      <v:path textboxrect="0,0,0,0"/>
                      <v:imagedata r:id="rId69" o:title=""/>
                    </v:shape>
                  </w:pict>
                </mc:Fallback>
              </mc:AlternateContent>
            </w:r>
            <w:r/>
          </w:p>
        </w:tc>
      </w:tr>
      <w:tr>
        <w:trPr>
          <w:trHeight w:val="93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清洁工具间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双星拖把池</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1000*500*2000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星盆深度350mm，配不锈钢落水；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横管：采用SUS304不锈钢方管38*25*1.0mm；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116965" cy="824865"/>
                      <wp:effectExtent l="0" t="0" r="6985" b="13335"/>
                      <wp:wrapNone/>
                      <wp:docPr id="51" name="图片_95"/>
                      <wp:cNvGraphicFramePr/>
                      <a:graphic xmlns:a="http://schemas.openxmlformats.org/drawingml/2006/main">
                        <a:graphicData uri="http://schemas.openxmlformats.org/drawingml/2006/picture">
                          <pic:pic xmlns:pic="http://schemas.openxmlformats.org/drawingml/2006/picture">
                            <pic:nvPicPr>
                              <pic:cNvPr id="51" name="图片_95"/>
                              <pic:cNvPicPr/>
                              <pic:nvPr/>
                            </pic:nvPicPr>
                            <pic:blipFill>
                              <a:blip r:embed="rId70"/>
                              <a:stretch/>
                            </pic:blipFill>
                            <pic:spPr bwMode="auto">
                              <a:xfrm>
                                <a:off x="0" y="0"/>
                                <a:ext cx="1116965"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4384;o:allowoverlap:true;o:allowincell:true;mso-position-horizontal-relative:text;margin-left:5.0pt;mso-position-horizontal:absolute;mso-position-vertical-relative:text;margin-top:5.0pt;mso-position-vertical:absolute;width:88.0pt;height:65.0pt;mso-wrap-distance-left:9.0pt;mso-wrap-distance-top:0.0pt;mso-wrap-distance-right:9.0pt;mso-wrap-distance-bottom:0.0pt;" stroked="f">
                      <v:path textboxrect="0,0,0,0"/>
                      <v:imagedata r:id="rId70"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双星拖把池</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星盆深度350mm，配不锈钢落水；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横管：采用SUS304不锈钢方管38*25*1.0mm；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52" name="图片_97"/>
                      <wp:cNvGraphicFramePr/>
                      <a:graphic xmlns:a="http://schemas.openxmlformats.org/drawingml/2006/main">
                        <a:graphicData uri="http://schemas.openxmlformats.org/drawingml/2006/picture">
                          <pic:pic xmlns:pic="http://schemas.openxmlformats.org/drawingml/2006/picture">
                            <pic:nvPicPr>
                              <pic:cNvPr id="52" name="图片_97"/>
                              <pic:cNvPicPr/>
                              <pic:nvPr/>
                            </pic:nvPicPr>
                            <pic:blipFill>
                              <a:blip r:embed="rId71"/>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71" o:title=""/>
                    </v:shape>
                  </w:pict>
                </mc:Fallback>
              </mc:AlternateContent>
            </w:r>
            <w:r/>
          </w:p>
        </w:tc>
      </w:tr>
      <w:tr>
        <w:trPr>
          <w:trHeight w:val="777"/>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女更衣室</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1240*500*1800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材质：采用优质不锈钢度0.8mm制作；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分上层下层，每层三扇门；每扇门上附锁。</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53" name="图片_99"/>
                      <wp:cNvGraphicFramePr/>
                      <a:graphic xmlns:a="http://schemas.openxmlformats.org/drawingml/2006/main">
                        <a:graphicData uri="http://schemas.openxmlformats.org/drawingml/2006/picture">
                          <pic:pic xmlns:pic="http://schemas.openxmlformats.org/drawingml/2006/picture">
                            <pic:nvPicPr>
                              <pic:cNvPr id="53" name="图片_99"/>
                              <pic:cNvPicPr/>
                              <pic:nvPr/>
                            </pic:nvPicPr>
                            <pic:blipFill>
                              <a:blip r:embed="rId72"/>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72"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洗手星连电子感应龙头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450*450*250/150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采用SUS304不锈钢制作，氩焊处满焊，打磨处理；台面厚度δ=1.0mm，槽体厚度δ=1.0mm，槽体深度h=280mm；脚为38*38*1.0不锈钢镜面管，不锈钢调节脚.</w:t>
            </w:r>
            <w:r>
              <w:rPr>
                <w:rFonts w:hint="eastAsia" w:ascii="宋体" w:hAnsi="宋体" w:eastAsia="宋体" w:cs="宋体"/>
                <w:b/>
                <w:bCs/>
                <w:i w:val="0"/>
                <w:iCs w:val="0"/>
                <w:color w:val="auto"/>
                <w:sz w:val="20"/>
                <w:szCs w:val="20"/>
                <w:u w:val="none"/>
                <w:lang w:val="en-US" w:eastAsia="zh-CN" w:bidi="ar"/>
              </w:rPr>
              <w:t xml:space="preserve">▲</w:t>
            </w:r>
            <w:r>
              <w:rPr>
                <w:rStyle w:val="1851"/>
                <w:rFonts w:hint="eastAsia" w:ascii="宋体" w:hAnsi="宋体" w:eastAsia="宋体" w:cs="宋体"/>
                <w:color w:val="auto"/>
                <w:sz w:val="20"/>
                <w:szCs w:val="20"/>
                <w:highlight w:val="none"/>
                <w:lang w:val="en-US" w:eastAsia="zh-CN" w:bidi="ar"/>
              </w:rPr>
              <w:t xml:space="preserve">依据财政部、发展改革委发布的《节能产品政府采购品目清单》，本项目采购的感应龙头为政府强制采购的节能产品，投标人只能选择具有国家确定的认证机构出具的有效期之内的节能产品认证证书扫描件上传至投标文件中并电子签章。</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54" name="图片_101"/>
                      <wp:cNvGraphicFramePr/>
                      <a:graphic xmlns:a="http://schemas.openxmlformats.org/drawingml/2006/main">
                        <a:graphicData uri="http://schemas.openxmlformats.org/drawingml/2006/picture">
                          <pic:pic xmlns:pic="http://schemas.openxmlformats.org/drawingml/2006/picture">
                            <pic:nvPicPr>
                              <pic:cNvPr id="54" name="图片_101"/>
                              <pic:cNvPicPr/>
                              <pic:nvPr/>
                            </pic:nvPicPr>
                            <pic:blipFill>
                              <a:blip r:embed="rId73"/>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73"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8格更衣柜 </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800*400*1800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材质：采用镀锌板厚度0.8mm制作；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分四层，每层双扇门；每扇门上附锁。</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55" name="图片_105"/>
                      <wp:cNvGraphicFramePr/>
                      <a:graphic xmlns:a="http://schemas.openxmlformats.org/drawingml/2006/main">
                        <a:graphicData uri="http://schemas.openxmlformats.org/drawingml/2006/picture">
                          <pic:pic xmlns:pic="http://schemas.openxmlformats.org/drawingml/2006/picture">
                            <pic:nvPicPr>
                              <pic:cNvPr id="55" name="图片_105"/>
                              <pic:cNvPicPr/>
                              <pic:nvPr/>
                            </pic:nvPicPr>
                            <pic:blipFill>
                              <a:blip r:embed="rId74"/>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74"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12格更衣柜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1200*400*1800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材质：采用镀锌板厚度0.8mm制作；</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分四层，每层三扇门；每扇门上附锁。</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56" name="图片_107"/>
                      <wp:cNvGraphicFramePr/>
                      <a:graphic xmlns:a="http://schemas.openxmlformats.org/drawingml/2006/main">
                        <a:graphicData uri="http://schemas.openxmlformats.org/drawingml/2006/picture">
                          <pic:pic xmlns:pic="http://schemas.openxmlformats.org/drawingml/2006/picture">
                            <pic:nvPicPr>
                              <pic:cNvPr id="56" name="图片_107"/>
                              <pic:cNvPicPr/>
                              <pic:nvPr/>
                            </pic:nvPicPr>
                            <pic:blipFill>
                              <a:blip r:embed="rId75"/>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75"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双星洗手池带电子感应龙头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900*450*250/150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采用SUS304不锈钢制作，氩焊处满焊，打磨处理；台面厚度δ=1.0mm，槽体厚度δ=1.0mm，槽体深度h=280mm；脚为38*38*1.0不锈钢镜面管，不锈钢调节脚.</w:t>
            </w:r>
            <w:r>
              <w:rPr>
                <w:rFonts w:hint="eastAsia" w:ascii="宋体" w:hAnsi="宋体" w:eastAsia="宋体" w:cs="宋体"/>
                <w:b/>
                <w:bCs/>
                <w:i w:val="0"/>
                <w:iCs w:val="0"/>
                <w:color w:val="auto"/>
                <w:sz w:val="20"/>
                <w:szCs w:val="20"/>
                <w:u w:val="none"/>
                <w:lang w:val="en-US" w:eastAsia="zh-CN" w:bidi="ar"/>
              </w:rPr>
              <w:t xml:space="preserve">▲</w:t>
            </w:r>
            <w:r>
              <w:rPr>
                <w:rStyle w:val="1851"/>
                <w:rFonts w:hint="eastAsia" w:ascii="宋体" w:hAnsi="宋体" w:eastAsia="宋体" w:cs="宋体"/>
                <w:color w:val="auto"/>
                <w:sz w:val="20"/>
                <w:szCs w:val="20"/>
                <w:highlight w:val="none"/>
                <w:lang w:val="en-US" w:eastAsia="zh-CN" w:bidi="ar"/>
              </w:rPr>
              <w:t xml:space="preserve">依据财政部、发展改革委发布的《节能产品政府采购品目清单》，本项目采购的感应龙头为政府强制采购的节能产品，投标人只能选择具有国家确定的认证机构出具的有效期之内的节能产品认证证书扫描件上传至投标文件中并电子签章。</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57" name="图片_109"/>
                      <wp:cNvGraphicFramePr/>
                      <a:graphic xmlns:a="http://schemas.openxmlformats.org/drawingml/2006/main">
                        <a:graphicData uri="http://schemas.openxmlformats.org/drawingml/2006/picture">
                          <pic:pic xmlns:pic="http://schemas.openxmlformats.org/drawingml/2006/picture">
                            <pic:nvPicPr>
                              <pic:cNvPr id="57" name="图片_109"/>
                              <pic:cNvPicPr/>
                              <pic:nvPr/>
                            </pic:nvPicPr>
                            <pic:blipFill>
                              <a:blip r:embed="rId76"/>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76" o:title=""/>
                    </v:shape>
                  </w:pict>
                </mc:Fallback>
              </mc:AlternateContent>
            </w:r>
            <w:r/>
          </w:p>
        </w:tc>
      </w:tr>
      <w:tr>
        <w:trPr>
          <w:trHeight w:val="858"/>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双星洗手池带电子感应龙头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900*450*250/150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采用SUS304不锈钢制作，氩焊处满焊，打磨处理；台面厚度δ=1.0mm，槽体厚度δ=1.0mm，槽体深度h=280mm；脚为38*38*1.0不锈钢镜面管，不锈钢调节脚.</w:t>
            </w:r>
            <w:r>
              <w:rPr>
                <w:rFonts w:hint="eastAsia" w:ascii="宋体" w:hAnsi="宋体" w:eastAsia="宋体" w:cs="宋体"/>
                <w:b/>
                <w:bCs/>
                <w:i w:val="0"/>
                <w:iCs w:val="0"/>
                <w:color w:val="auto"/>
                <w:sz w:val="20"/>
                <w:szCs w:val="20"/>
                <w:u w:val="none"/>
                <w:lang w:val="en-US" w:eastAsia="zh-CN" w:bidi="ar"/>
              </w:rPr>
              <w:t xml:space="preserve">▲</w:t>
            </w:r>
            <w:r>
              <w:rPr>
                <w:rStyle w:val="1851"/>
                <w:rFonts w:hint="eastAsia" w:ascii="宋体" w:hAnsi="宋体" w:eastAsia="宋体" w:cs="宋体"/>
                <w:color w:val="auto"/>
                <w:sz w:val="20"/>
                <w:szCs w:val="20"/>
                <w:highlight w:val="none"/>
                <w:lang w:val="en-US" w:eastAsia="zh-CN" w:bidi="ar"/>
              </w:rPr>
              <w:t xml:space="preserve">依据财政部、发展改革委发布的《节能产品政府采购品目清单》，本项目采购的感应龙头为政府强制采购的节能产品，投标人只能选择具有国家确定的认证机构出具的有效期之内的节能产品认证证书扫描件上传至投标文件中并电子签章。</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58" name="图片_113"/>
                      <wp:cNvGraphicFramePr/>
                      <a:graphic xmlns:a="http://schemas.openxmlformats.org/drawingml/2006/main">
                        <a:graphicData uri="http://schemas.openxmlformats.org/drawingml/2006/picture">
                          <pic:pic xmlns:pic="http://schemas.openxmlformats.org/drawingml/2006/picture">
                            <pic:nvPicPr>
                              <pic:cNvPr id="58" name="图片_113"/>
                              <pic:cNvPicPr/>
                              <pic:nvPr/>
                            </pic:nvPicPr>
                            <pic:blipFill>
                              <a:blip r:embed="rId77"/>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77" o:title=""/>
                    </v:shape>
                  </w:pict>
                </mc:Fallback>
              </mc:AlternateConten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二层二更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双星洗手池带电子感应龙头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900*450*250/150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采用SUS304不锈钢制作，氩焊处满焊，打磨处理；台面厚度δ=1.0mm，槽体厚度δ=1.0mm，槽体深度h=280mm；脚为38*38*1.0不锈钢镜面管，不锈钢调节脚.</w:t>
            </w:r>
            <w:r>
              <w:rPr>
                <w:rFonts w:hint="eastAsia" w:ascii="宋体" w:hAnsi="宋体" w:eastAsia="宋体" w:cs="宋体"/>
                <w:b/>
                <w:bCs/>
                <w:i w:val="0"/>
                <w:iCs w:val="0"/>
                <w:color w:val="auto"/>
                <w:sz w:val="20"/>
                <w:szCs w:val="20"/>
                <w:u w:val="none"/>
                <w:lang w:val="en-US" w:eastAsia="zh-CN" w:bidi="ar"/>
              </w:rPr>
              <w:t xml:space="preserve">▲</w:t>
            </w:r>
            <w:r>
              <w:rPr>
                <w:rStyle w:val="1851"/>
                <w:rFonts w:hint="eastAsia" w:ascii="宋体" w:hAnsi="宋体" w:eastAsia="宋体" w:cs="宋体"/>
                <w:color w:val="auto"/>
                <w:sz w:val="20"/>
                <w:szCs w:val="20"/>
                <w:highlight w:val="none"/>
                <w:lang w:val="en-US" w:eastAsia="zh-CN" w:bidi="ar"/>
              </w:rPr>
              <w:t xml:space="preserve">依据财政部、发展改革委发布的《节能产品政府采购品目清单》，本项目采购的感应龙头为政府强制采购的节能产品，投标人只能选择具有国家确定的认证机构出具的有效期之内的节能产品认证证书扫描件上传至投标文件中并电子签章。</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59" name="图片_117"/>
                      <wp:cNvGraphicFramePr/>
                      <a:graphic xmlns:a="http://schemas.openxmlformats.org/drawingml/2006/main">
                        <a:graphicData uri="http://schemas.openxmlformats.org/drawingml/2006/picture">
                          <pic:pic xmlns:pic="http://schemas.openxmlformats.org/drawingml/2006/picture">
                            <pic:nvPicPr>
                              <pic:cNvPr id="59" name="图片_117"/>
                              <pic:cNvPicPr/>
                              <pic:nvPr/>
                            </pic:nvPicPr>
                            <pic:blipFill>
                              <a:blip r:embed="rId78"/>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78" o:title=""/>
                    </v:shape>
                  </w:pict>
                </mc:Fallback>
              </mc:AlternateContent>
            </w:r>
            <w:r/>
          </w:p>
        </w:tc>
      </w:tr>
      <w:tr>
        <w:trPr>
          <w:trHeight w:val="766"/>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二层备餐</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单通暖碟台（上掀门）</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台面1.0mm，台面内衬18mm防水机制板并用1.0mm厚不锈钢板剪折成加强筋进行加固；背板、侧板1.0mm；受力层板1.2mm；滑槽采用模具整体一次性冲压成型槽，方便清洁防划伤；腿采用不锈钢重力脚，热风功率2.5KW</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86360</wp:posOffset>
                      </wp:positionH>
                      <wp:positionV relativeFrom="paragraph">
                        <wp:posOffset>17780</wp:posOffset>
                      </wp:positionV>
                      <wp:extent cx="899795" cy="870585"/>
                      <wp:effectExtent l="0" t="0" r="14604" b="5715"/>
                      <wp:wrapNone/>
                      <wp:docPr id="60" name="图片_119"/>
                      <wp:cNvGraphicFramePr/>
                      <a:graphic xmlns:a="http://schemas.openxmlformats.org/drawingml/2006/main">
                        <a:graphicData uri="http://schemas.openxmlformats.org/drawingml/2006/picture">
                          <pic:pic xmlns:pic="http://schemas.openxmlformats.org/drawingml/2006/picture">
                            <pic:nvPicPr>
                              <pic:cNvPr id="60" name="图片_119"/>
                              <pic:cNvPicPr/>
                              <pic:nvPr/>
                            </pic:nvPicPr>
                            <pic:blipFill>
                              <a:blip r:embed="rId79"/>
                              <a:stretch/>
                            </pic:blipFill>
                            <pic:spPr bwMode="auto">
                              <a:xfrm>
                                <a:off x="0" y="0"/>
                                <a:ext cx="899795" cy="870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4384;o:allowoverlap:true;o:allowincell:true;mso-position-horizontal-relative:text;margin-left:6.8pt;mso-position-horizontal:absolute;mso-position-vertical-relative:text;margin-top:1.4pt;mso-position-vertical:absolute;width:70.8pt;height:68.5pt;mso-wrap-distance-left:9.0pt;mso-wrap-distance-top:0.0pt;mso-wrap-distance-right:9.0pt;mso-wrap-distance-bottom:0.0pt;" stroked="f">
                      <v:path textboxrect="0,0,0,0"/>
                      <v:imagedata r:id="rId79"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单门宴会保温车</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1000*680*890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主材为SUS304不锈钢，内胆、外壳采用1.0mm不锈钢板制作，搁条用1.0mm不锈钢板制作，搁条焊接点要密；内胆与外壳之间采用优质隔热材料隔热；配备盘为0.8mm不锈钢板制作；装有自动补水装置；采用电加热。</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428625</wp:posOffset>
                      </wp:positionH>
                      <wp:positionV relativeFrom="paragraph">
                        <wp:posOffset>28575</wp:posOffset>
                      </wp:positionV>
                      <wp:extent cx="762000" cy="800100"/>
                      <wp:effectExtent l="0" t="0" r="0" b="0"/>
                      <wp:wrapNone/>
                      <wp:docPr id="61" name="图片_5"/>
                      <wp:cNvGraphicFramePr/>
                      <a:graphic xmlns:a="http://schemas.openxmlformats.org/drawingml/2006/main">
                        <a:graphicData uri="http://schemas.openxmlformats.org/drawingml/2006/picture">
                          <pic:pic xmlns:pic="http://schemas.openxmlformats.org/drawingml/2006/picture">
                            <pic:nvPicPr>
                              <pic:cNvPr id="61" name="图片_5"/>
                              <pic:cNvPicPr/>
                              <pic:nvPr/>
                            </pic:nvPicPr>
                            <pic:blipFill>
                              <a:blip r:embed="rId80"/>
                              <a:stretch/>
                            </pic:blipFill>
                            <pic:spPr bwMode="auto">
                              <a:xfrm>
                                <a:off x="0" y="0"/>
                                <a:ext cx="762000"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4384;o:allowoverlap:true;o:allowincell:true;mso-position-horizontal-relative:text;margin-left:33.8pt;mso-position-horizontal:absolute;mso-position-vertical-relative:text;margin-top:2.2pt;mso-position-vertical:absolute;width:60.0pt;height:63.0pt;mso-wrap-distance-left:9.0pt;mso-wrap-distance-top:0.0pt;mso-wrap-distance-right:9.0pt;mso-wrap-distance-bottom:0.0pt;" stroked="f">
                      <v:path textboxrect="0,0,0,0"/>
                      <v:imagedata r:id="rId80"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四格保温售饭台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1600*700*800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采用SUS304不锈钢板：台面1.0mm不锈钢，外1.0mm不锈钢，内池1.0mm不锈钢，1.0mm钢筋，优质不锈钢电热管，配有水，排污阀，可调温度控制器 ，双通道加热模式，两头配两套热风系统，通过脚＃38mm * 1.0mm不锈钢，不锈钢可调脚功率：≥3KW / 220V</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62" name="图片_123"/>
                      <wp:cNvGraphicFramePr/>
                      <a:graphic xmlns:a="http://schemas.openxmlformats.org/drawingml/2006/main">
                        <a:graphicData uri="http://schemas.openxmlformats.org/drawingml/2006/picture">
                          <pic:pic xmlns:pic="http://schemas.openxmlformats.org/drawingml/2006/picture">
                            <pic:nvPicPr>
                              <pic:cNvPr id="62" name="图片_123"/>
                              <pic:cNvPicPr/>
                              <pic:nvPr/>
                            </pic:nvPicPr>
                            <pic:blipFill>
                              <a:blip r:embed="rId81"/>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81" o:title=""/>
                    </v:shape>
                  </w:pict>
                </mc:Fallback>
              </mc:AlternateConten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单通暖碟台（上掀门）</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1600*800*800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台面1.0mm，台面内衬18mm防水机制板并用1.0mm厚不锈钢板剪折成加强筋进行加固；背板、侧板1.0mm；受力层板1.2mm；滑槽采用模具整体一次性冲压成型槽，方便清洁防划伤；腿采用不锈钢重力脚，热风功率2.5KW</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1536700"/>
                      <wp:effectExtent l="0" t="0" r="6350" b="6350"/>
                      <wp:wrapNone/>
                      <wp:docPr id="63" name="图片_125"/>
                      <wp:cNvGraphicFramePr/>
                      <a:graphic xmlns:a="http://schemas.openxmlformats.org/drawingml/2006/main">
                        <a:graphicData uri="http://schemas.openxmlformats.org/drawingml/2006/picture">
                          <pic:pic xmlns:pic="http://schemas.openxmlformats.org/drawingml/2006/picture">
                            <pic:nvPicPr>
                              <pic:cNvPr id="63" name="图片_125"/>
                              <pic:cNvPicPr/>
                              <pic:nvPr/>
                            </pic:nvPicPr>
                            <pic:blipFill>
                              <a:blip r:embed="rId82"/>
                              <a:stretch/>
                            </pic:blipFill>
                            <pic:spPr bwMode="auto">
                              <a:xfrm>
                                <a:off x="0" y="0"/>
                                <a:ext cx="1270000" cy="153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4384;o:allowoverlap:true;o:allowincell:true;mso-position-horizontal-relative:text;margin-left:5.0pt;mso-position-horizontal:absolute;mso-position-vertical-relative:text;margin-top:5.0pt;mso-position-vertical:absolute;width:100.0pt;height:121.0pt;mso-wrap-distance-left:9.0pt;mso-wrap-distance-top:0.0pt;mso-wrap-distance-right:9.0pt;mso-wrap-distance-bottom:0.0pt;" stroked="f">
                      <v:path textboxrect="0,0,0,0"/>
                      <v:imagedata r:id="rId82" o:title=""/>
                    </v:shape>
                  </w:pict>
                </mc:Fallback>
              </mc:AlternateConten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900*600*150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主材为SUS304不锈钢；车体面板采用1.2mm不锈钢板制作，下衬16mm机制木工板，并配加强筋加强；配4只聚胺脂静音轮；手柄采用φ25*1.0mm不锈钢管焊接制作。</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152400</wp:posOffset>
                      </wp:positionH>
                      <wp:positionV relativeFrom="paragraph">
                        <wp:posOffset>190500</wp:posOffset>
                      </wp:positionV>
                      <wp:extent cx="962025" cy="561975"/>
                      <wp:effectExtent l="0" t="0" r="9525" b="9525"/>
                      <wp:wrapNone/>
                      <wp:docPr id="64" name="图片_3_SpCnt_2"/>
                      <wp:cNvGraphicFramePr/>
                      <a:graphic xmlns:a="http://schemas.openxmlformats.org/drawingml/2006/main">
                        <a:graphicData uri="http://schemas.openxmlformats.org/drawingml/2006/picture">
                          <pic:pic xmlns:pic="http://schemas.openxmlformats.org/drawingml/2006/picture">
                            <pic:nvPicPr>
                              <pic:cNvPr id="113" name="图片_3_SpCnt_2"/>
                              <pic:cNvPicPr/>
                              <pic:nvPr/>
                            </pic:nvPicPr>
                            <pic:blipFill>
                              <a:blip r:embed="rId83"/>
                              <a:stretch/>
                            </pic:blipFill>
                            <pic:spPr bwMode="auto">
                              <a:xfrm>
                                <a:off x="0" y="0"/>
                                <a:ext cx="962025" cy="561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71552;o:allowoverlap:true;o:allowincell:true;mso-position-horizontal-relative:text;margin-left:12.0pt;mso-position-horizontal:absolute;mso-position-vertical-relative:text;margin-top:15.0pt;mso-position-vertical:absolute;width:75.8pt;height:44.2pt;mso-wrap-distance-left:9.0pt;mso-wrap-distance-top:0.0pt;mso-wrap-distance-right:9.0pt;mso-wrap-distance-bottom:0.0pt;" stroked="f">
                      <v:path textboxrect="0,0,0,0"/>
                      <v:imagedata r:id="rId83" o:title=""/>
                    </v:shape>
                  </w:pict>
                </mc:Fallback>
              </mc:AlternateConten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汤车</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主材为304不锈钢，厚度1.2mm,配4只聚氨酯静音轮，手柄采用不锈钢中间加防热塑胶。</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171450</wp:posOffset>
                      </wp:positionH>
                      <wp:positionV relativeFrom="paragraph">
                        <wp:posOffset>28575</wp:posOffset>
                      </wp:positionV>
                      <wp:extent cx="1162050" cy="799465"/>
                      <wp:effectExtent l="0" t="0" r="0" b="635"/>
                      <wp:wrapNone/>
                      <wp:docPr id="65" name="图片_4"/>
                      <wp:cNvGraphicFramePr/>
                      <a:graphic xmlns:a="http://schemas.openxmlformats.org/drawingml/2006/main">
                        <a:graphicData uri="http://schemas.openxmlformats.org/drawingml/2006/picture">
                          <pic:pic xmlns:pic="http://schemas.openxmlformats.org/drawingml/2006/picture">
                            <pic:nvPicPr>
                              <pic:cNvPr id="115" name="图片_4"/>
                              <pic:cNvPicPr/>
                              <pic:nvPr/>
                            </pic:nvPicPr>
                            <pic:blipFill>
                              <a:blip r:embed="rId84"/>
                              <a:stretch/>
                            </pic:blipFill>
                            <pic:spPr bwMode="auto">
                              <a:xfrm>
                                <a:off x="0" y="0"/>
                                <a:ext cx="1162050"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72576;o:allowoverlap:true;o:allowincell:true;mso-position-horizontal-relative:text;margin-left:13.5pt;mso-position-horizontal:absolute;mso-position-vertical-relative:text;margin-top:2.2pt;mso-position-vertical:absolute;width:91.5pt;height:62.9pt;mso-wrap-distance-left:9.0pt;mso-wrap-distance-top:0.0pt;mso-wrap-distance-right:9.0pt;mso-wrap-distance-bottom:0.0pt;" stroked="f">
                      <v:path textboxrect="0,0,0,0"/>
                      <v:imagedata r:id="rId84" o:title=""/>
                    </v:shape>
                  </w:pict>
                </mc:Fallback>
              </mc:AlternateContent>
            </w:r>
            <w:r/>
          </w:p>
        </w:tc>
      </w:tr>
      <w:tr>
        <w:trPr>
          <w:trHeight w:val="1008"/>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二层教师餐厅</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学生餐桌</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2000*600*750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面材、基材：采用国标304#不锈钢，厚≥1mm。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钢架：采用国标厚≥1.2mm，32*82*1.2镀锌钢管，桌面支撑采用25*50*1.2镀锌钢管。</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19050</wp:posOffset>
                      </wp:positionH>
                      <wp:positionV relativeFrom="paragraph">
                        <wp:posOffset>66675</wp:posOffset>
                      </wp:positionV>
                      <wp:extent cx="1381125" cy="869950"/>
                      <wp:effectExtent l="0" t="0" r="9525" b="6350"/>
                      <wp:wrapNone/>
                      <wp:docPr id="66" name="图片_2"/>
                      <wp:cNvGraphicFramePr/>
                      <a:graphic xmlns:a="http://schemas.openxmlformats.org/drawingml/2006/main">
                        <a:graphicData uri="http://schemas.openxmlformats.org/drawingml/2006/picture">
                          <pic:pic xmlns:pic="http://schemas.openxmlformats.org/drawingml/2006/picture">
                            <pic:nvPicPr>
                              <pic:cNvPr id="64" name="图片_2"/>
                              <pic:cNvPicPr/>
                              <pic:nvPr/>
                            </pic:nvPicPr>
                            <pic:blipFill>
                              <a:blip r:embed="rId85"/>
                              <a:stretch/>
                            </pic:blipFill>
                            <pic:spPr bwMode="auto">
                              <a:xfrm>
                                <a:off x="0" y="0"/>
                                <a:ext cx="1381125" cy="869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4384;o:allowoverlap:true;o:allowincell:true;mso-position-horizontal-relative:text;margin-left:1.5pt;mso-position-horizontal:absolute;mso-position-vertical-relative:text;margin-top:5.2pt;mso-position-vertical:absolute;width:108.8pt;height:68.5pt;mso-wrap-distance-left:9.0pt;mso-wrap-distance-top:0.0pt;mso-wrap-distance-right:9.0pt;mso-wrap-distance-bottom:0.0pt;" stroked="f">
                      <v:path textboxrect="0,0,0,0"/>
                      <v:imagedata r:id="rId85"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15.</w:t>
            </w: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四人餐桌椅</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1600*800*750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面材：采用国标304#不锈钢，厚≥1mm。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基材：采用E1级橡胶木坐板，五底三面先进油漆工艺，厚≥25mm。台面总厚度≥40mm（连同加强边框在内）.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钢架：采用国标厚≥1.2mm，32*82*1.2镀锌钢管，桌面支撑采用25*50*1.2镀锌钢管。</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133350</wp:posOffset>
                      </wp:positionH>
                      <wp:positionV relativeFrom="paragraph">
                        <wp:posOffset>114300</wp:posOffset>
                      </wp:positionV>
                      <wp:extent cx="1238250" cy="759460"/>
                      <wp:effectExtent l="0" t="0" r="0" b="2540"/>
                      <wp:wrapNone/>
                      <wp:docPr id="67" name="图片_3"/>
                      <wp:cNvGraphicFramePr/>
                      <a:graphic xmlns:a="http://schemas.openxmlformats.org/drawingml/2006/main">
                        <a:graphicData uri="http://schemas.openxmlformats.org/drawingml/2006/picture">
                          <pic:pic xmlns:pic="http://schemas.openxmlformats.org/drawingml/2006/picture">
                            <pic:nvPicPr>
                              <pic:cNvPr id="65" name="图片_3"/>
                              <pic:cNvPicPr/>
                              <pic:nvPr/>
                            </pic:nvPicPr>
                            <pic:blipFill>
                              <a:blip r:embed="rId86"/>
                              <a:stretch/>
                            </pic:blipFill>
                            <pic:spPr bwMode="auto">
                              <a:xfrm>
                                <a:off x="0" y="0"/>
                                <a:ext cx="1238250" cy="759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4384;o:allowoverlap:true;o:allowincell:true;mso-position-horizontal-relative:text;margin-left:10.5pt;mso-position-horizontal:absolute;mso-position-vertical-relative:text;margin-top:9.0pt;mso-position-vertical:absolute;width:97.5pt;height:59.8pt;mso-wrap-distance-left:9.0pt;mso-wrap-distance-top:0.0pt;mso-wrap-distance-right:9.0pt;mso-wrap-distance-bottom:0.0pt;" stroked="f">
                      <v:path textboxrect="0,0,0,0"/>
                      <v:imagedata r:id="rId86"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15.</w:t>
            </w: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60L</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电压：3N-380V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1.每小时出水量：≥80L /h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2.单次大出水量：≥15L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3.内外胆采用全不锈钢板制作，配380V不锈钢电热管，配自动进水1套，断水装置1套，配温度表、电源指示灯；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4.座架采用1.0mm不锈钢板制作，脚用Ф32*1.0mm不锈钢圆管。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213360</wp:posOffset>
                      </wp:positionH>
                      <wp:positionV relativeFrom="paragraph">
                        <wp:posOffset>109220</wp:posOffset>
                      </wp:positionV>
                      <wp:extent cx="906780" cy="832485"/>
                      <wp:effectExtent l="0" t="0" r="7620" b="5715"/>
                      <wp:wrapNone/>
                      <wp:docPr id="68" name="图片_128"/>
                      <wp:cNvGraphicFramePr/>
                      <a:graphic xmlns:a="http://schemas.openxmlformats.org/drawingml/2006/main">
                        <a:graphicData uri="http://schemas.openxmlformats.org/drawingml/2006/picture">
                          <pic:pic xmlns:pic="http://schemas.openxmlformats.org/drawingml/2006/picture">
                            <pic:nvPicPr>
                              <pic:cNvPr id="66" name="图片_128"/>
                              <pic:cNvPicPr/>
                              <pic:nvPr/>
                            </pic:nvPicPr>
                            <pic:blipFill>
                              <a:blip r:embed="rId87"/>
                              <a:stretch/>
                            </pic:blipFill>
                            <pic:spPr bwMode="auto">
                              <a:xfrm>
                                <a:off x="0" y="0"/>
                                <a:ext cx="906780" cy="832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4384;o:allowoverlap:true;o:allowincell:true;mso-position-horizontal-relative:text;margin-left:16.8pt;mso-position-horizontal:absolute;mso-position-vertical-relative:text;margin-top:8.6pt;mso-position-vertical:absolute;width:71.4pt;height:65.5pt;mso-wrap-distance-left:9.0pt;mso-wrap-distance-top:0.0pt;mso-wrap-distance-right:9.0pt;mso-wrap-distance-bottom:0.0pt;" stroked="f">
                      <v:path textboxrect="0,0,0,0"/>
                      <v:imagedata r:id="rId87"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15.</w:t>
            </w: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双星拖把池</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星盆深度350mm，配不锈钢落水；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横管：采用SUS304不锈钢方管38*25*1.0mm；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69" name="图片_131"/>
                      <wp:cNvGraphicFramePr/>
                      <a:graphic xmlns:a="http://schemas.openxmlformats.org/drawingml/2006/main">
                        <a:graphicData uri="http://schemas.openxmlformats.org/drawingml/2006/picture">
                          <pic:pic xmlns:pic="http://schemas.openxmlformats.org/drawingml/2006/picture">
                            <pic:nvPicPr>
                              <pic:cNvPr id="67" name="图片_131"/>
                              <pic:cNvPicPr/>
                              <pic:nvPr/>
                            </pic:nvPicPr>
                            <pic:blipFill>
                              <a:blip r:embed="rId88"/>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88"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15.</w:t>
            </w: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洗手池(方脚直背）</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2000*700*800/100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星盆深度350mm，配不锈钢落水；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横管：采用SUS304不锈钢方管38*25*1.0mm；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70" name="图片_133"/>
                      <wp:cNvGraphicFramePr/>
                      <a:graphic xmlns:a="http://schemas.openxmlformats.org/drawingml/2006/main">
                        <a:graphicData uri="http://schemas.openxmlformats.org/drawingml/2006/picture">
                          <pic:pic xmlns:pic="http://schemas.openxmlformats.org/drawingml/2006/picture">
                            <pic:nvPicPr>
                              <pic:cNvPr id="68" name="图片_133"/>
                              <pic:cNvPicPr/>
                              <pic:nvPr/>
                            </pic:nvPicPr>
                            <pic:blipFill>
                              <a:blip r:embed="rId89"/>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89" o:title=""/>
                    </v:shape>
                  </w:pict>
                </mc:Fallback>
              </mc:AlternateContent>
            </w:r>
            <w:r/>
          </w:p>
        </w:tc>
      </w:tr>
      <w:tr>
        <w:trPr>
          <w:trHeight w:val="846"/>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二层清洁工具间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双星拖把池</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星盆深度350mm，配不锈钢落水；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横管：采用SUS304不锈钢方管38*25*1.0mm；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24765</wp:posOffset>
                      </wp:positionH>
                      <wp:positionV relativeFrom="paragraph">
                        <wp:posOffset>48260</wp:posOffset>
                      </wp:positionV>
                      <wp:extent cx="1284605" cy="840105"/>
                      <wp:effectExtent l="0" t="0" r="10795" b="17145"/>
                      <wp:wrapNone/>
                      <wp:docPr id="71" name="图片_137"/>
                      <wp:cNvGraphicFramePr/>
                      <a:graphic xmlns:a="http://schemas.openxmlformats.org/drawingml/2006/main">
                        <a:graphicData uri="http://schemas.openxmlformats.org/drawingml/2006/picture">
                          <pic:pic xmlns:pic="http://schemas.openxmlformats.org/drawingml/2006/picture">
                            <pic:nvPicPr>
                              <pic:cNvPr id="69" name="图片_137"/>
                              <pic:cNvPicPr/>
                              <pic:nvPr/>
                            </pic:nvPicPr>
                            <pic:blipFill>
                              <a:blip r:embed="rId90"/>
                              <a:stretch/>
                            </pic:blipFill>
                            <pic:spPr bwMode="auto">
                              <a:xfrm>
                                <a:off x="0" y="0"/>
                                <a:ext cx="1284605" cy="84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4384;o:allowoverlap:true;o:allowincell:true;mso-position-horizontal-relative:text;margin-left:1.9pt;mso-position-horizontal:absolute;mso-position-vertical-relative:text;margin-top:3.8pt;mso-position-vertical:absolute;width:101.1pt;height:66.1pt;mso-wrap-distance-left:9.0pt;mso-wrap-distance-top:0.0pt;mso-wrap-distance-right:9.0pt;mso-wrap-distance-bottom:0.0pt;" stroked="f">
                      <v:path textboxrect="0,0,0,0"/>
                      <v:imagedata r:id="rId90"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双层圆角活动工作台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1500*750*500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台面：采用SUS304不锈钢不锈钢板厚度1.0mm；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下衬15mm细木工板；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格栅层板：采用SUS304不锈钢不锈钢板厚度1.0mm；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衬管：采用SUS304不锈钢不锈钢方管20*60*1.0mm；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下层横管：采用SUS304不锈钢不锈钢方管25*50*1.0mm;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脚通：采用SUS304不锈钢不锈钢方管38*38*1.0mm；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配四只4寸万向轮</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72" name="图片_139"/>
                      <wp:cNvGraphicFramePr/>
                      <a:graphic xmlns:a="http://schemas.openxmlformats.org/drawingml/2006/main">
                        <a:graphicData uri="http://schemas.openxmlformats.org/drawingml/2006/picture">
                          <pic:pic xmlns:pic="http://schemas.openxmlformats.org/drawingml/2006/picture">
                            <pic:nvPicPr>
                              <pic:cNvPr id="70" name="图片_139"/>
                              <pic:cNvPicPr/>
                              <pic:nvPr/>
                            </pic:nvPicPr>
                            <pic:blipFill>
                              <a:blip r:embed="rId91"/>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91"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大单星盆台（斜背）</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1200*700*800/150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台面：采用SUS304不锈钢板厚度1.2mm；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星盆：采用SUS304不锈钢板厚度1.2mm；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星盆深度350mm，配不锈钢落水；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脚通：采用SUS304不锈钢方管38*38*1.0mm；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横管：采用SUS304不锈钢方管38*25*1.0mm；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台脚：采用可调不锈钢子弹脚。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73" name="图片_141"/>
                      <wp:cNvGraphicFramePr/>
                      <a:graphic xmlns:a="http://schemas.openxmlformats.org/drawingml/2006/main">
                        <a:graphicData uri="http://schemas.openxmlformats.org/drawingml/2006/picture">
                          <pic:pic xmlns:pic="http://schemas.openxmlformats.org/drawingml/2006/picture">
                            <pic:nvPicPr>
                              <pic:cNvPr id="71" name="图片_141"/>
                              <pic:cNvPicPr/>
                              <pic:nvPr/>
                            </pic:nvPicPr>
                            <pic:blipFill>
                              <a:blip r:embed="rId92"/>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92" o:title=""/>
                    </v:shape>
                  </w:pict>
                </mc:Fallback>
              </mc:AlternateContent>
            </w:r>
            <w:r/>
          </w:p>
        </w:tc>
      </w:tr>
      <w:tr>
        <w:trPr>
          <w:trHeight w:val="3005"/>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1310*700*1980±10%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1、采用不锈钢制做;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2、整机采用整体发泡工艺，耐高温门封工艺，隔热保温，节能卫生;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3、热风循环系统，高温消毒无死角;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4、设有可调温控器，对所需温度随意调节;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5、带有可调定时器功能，灵活定时;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6、功率：≥3000W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7、容量：≥650L</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028065" cy="1080135"/>
                      <wp:effectExtent l="0" t="0" r="635" b="5715"/>
                      <wp:wrapNone/>
                      <wp:docPr id="74" name="图片_143"/>
                      <wp:cNvGraphicFramePr/>
                      <a:graphic xmlns:a="http://schemas.openxmlformats.org/drawingml/2006/main">
                        <a:graphicData uri="http://schemas.openxmlformats.org/drawingml/2006/picture">
                          <pic:pic xmlns:pic="http://schemas.openxmlformats.org/drawingml/2006/picture">
                            <pic:nvPicPr>
                              <pic:cNvPr id="72" name="图片_143"/>
                              <pic:cNvPicPr/>
                              <pic:nvPr/>
                            </pic:nvPicPr>
                            <pic:blipFill>
                              <a:blip r:embed="rId93"/>
                              <a:stretch/>
                            </pic:blipFill>
                            <pic:spPr bwMode="auto">
                              <a:xfrm>
                                <a:off x="0" y="0"/>
                                <a:ext cx="1028065"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4384;o:allowoverlap:true;o:allowincell:true;mso-position-horizontal-relative:text;margin-left:5.0pt;mso-position-horizontal:absolute;mso-position-vertical-relative:text;margin-top:5.0pt;mso-position-vertical:absolute;width:81.0pt;height:85.0pt;mso-wrap-distance-left:9.0pt;mso-wrap-distance-top:0.0pt;mso-wrap-distance-right:9.0pt;mso-wrap-distance-bottom:0.0pt;" stroked="f">
                      <v:path textboxrect="0,0,0,0"/>
                      <v:imagedata r:id="rId93"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洗碗机牛耳烟罩（方孔）</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450*748*400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采用SUS304不锈钢板材；油烟罩、滑槽采用1.0mm不锈钢板；吸烟网片采用0.8mm不锈钢板。</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75" name="图片_145"/>
                      <wp:cNvGraphicFramePr/>
                      <a:graphic xmlns:a="http://schemas.openxmlformats.org/drawingml/2006/main">
                        <a:graphicData uri="http://schemas.openxmlformats.org/drawingml/2006/picture">
                          <pic:pic xmlns:pic="http://schemas.openxmlformats.org/drawingml/2006/picture">
                            <pic:nvPicPr>
                              <pic:cNvPr id="73" name="图片_145"/>
                              <pic:cNvPicPr/>
                              <pic:nvPr/>
                            </pic:nvPicPr>
                            <pic:blipFill>
                              <a:blip r:embed="rId94"/>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94" o:title=""/>
                    </v:shape>
                  </w:pict>
                </mc:Fallback>
              </mc:AlternateContent>
            </w:r>
            <w:r/>
          </w:p>
        </w:tc>
      </w:tr>
      <w:tr>
        <w:trPr>
          <w:trHeight w:val="806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4600*850*1760±10%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加热方式：电加热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洗涤量：≥2500碟/小时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功能段：进端+清洗区+漂洗区+烘干区+出端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洗碗机清洗后的餐具卫生指标和残留细菌指标要求达到国家食品卫生标准和规范的要求。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具体的性能及参数：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1.洗碗机分段：入口区、主洗区、漂洗区（高温漂洗、高压漂洗）、烘干区、出口区；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2.输送链排装置采用耐热、耐腐蚀、卫生无毒、强度高造型美观的工程塑料网爪，适用范围广。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3.配置出口限位，开门水泵停止运行，防飞溅，电机过载保护等多重安全保护设置,更具人性化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4.洗涤烘干于一体，自动化程度高。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5.双道喷淋系统，入口端配置抽屉式接渣过滤装置，并且抽屉滤网在机器运行过程中也能够及时取出进行清洁。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6.耗水量：350-400L/小时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7.最大清洗高度:≥400mm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8.网带有效宽度：≥450mm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电加热功率：380V，≥60KW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9、所投长龙洗碗机参照GB/T17</w:t>
            </w:r>
            <w:r>
              <w:rPr>
                <w:rFonts w:hint="eastAsia" w:ascii="宋体" w:hAnsi="宋体" w:eastAsia="宋体" w:cs="宋体"/>
                <w:i w:val="0"/>
                <w:iCs w:val="0"/>
                <w:color w:val="000000"/>
                <w:sz w:val="20"/>
                <w:szCs w:val="20"/>
                <w:u w:val="none"/>
                <w:lang w:val="en-US" w:eastAsia="zh-CN" w:bidi="ar"/>
              </w:rPr>
              <w:t xml:space="preserve">626.2-2018、GB/T4343.2-2020、GB/T17626.3-2023、GB4343.1-2024、GB/T17626.4-2018、GB/T17626.5-2019、GB/T17799.1-2017标准检测，断续骚扰电压试验：短、中、长喀呖声数（150KHZ、500KHZ、1.4MHZ、30MHZ），2秒钟内产生2个喀呖声；静电放电抗扰度试验：（接触放电，放电电压±4KV，实验结果为C级，垂直耦合板的间接放电，放电电压±4KV，实验结果为C级，空气放电，放电电压±8KV，实验结果为C级）；</w:t>
            </w:r>
            <w:r>
              <w:rPr>
                <w:rFonts w:hint="eastAsia" w:ascii="宋体" w:hAnsi="宋体" w:eastAsia="宋体" w:cs="宋体"/>
                <w:i w:val="0"/>
                <w:iCs w:val="0"/>
                <w:color w:val="000000"/>
                <w:sz w:val="20"/>
                <w:szCs w:val="20"/>
                <w:u w:val="none"/>
                <w:lang w:val="en-US" w:eastAsia="zh-CN" w:bidi="ar"/>
              </w:rPr>
              <w:t xml:space="preserve">电快速瞬变脉冲群抗扰度试验：交流电源的输入端，耦合电压±1KV，脉冲重复频率5KHZ，试验结果为C；浪涌抗扰度试验；交流电源输入端（L1-L2）线、交流电源输入端（L1-L3）线、交流电源输入端（L2-L3）线、交流电源输入端（L1-N）线，耦合电压±1KV，试验结果（0°、90°、180°、270°）为C；射频电磁场辐射抗扰度试验；水平、垂直施加EUT方向（0°、90°、180°、270°），试验等级3V/m，频率范围1.4GHZ-2GHZ,调试方式1KHZ AM80%正弦波，驻留时间3S，试验结果为C </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51435</wp:posOffset>
                      </wp:positionH>
                      <wp:positionV relativeFrom="paragraph">
                        <wp:posOffset>83820</wp:posOffset>
                      </wp:positionV>
                      <wp:extent cx="1133475" cy="1151890"/>
                      <wp:effectExtent l="0" t="0" r="9525" b="10160"/>
                      <wp:wrapNone/>
                      <wp:docPr id="76" name="图片_1"/>
                      <wp:cNvGraphicFramePr/>
                      <a:graphic xmlns:a="http://schemas.openxmlformats.org/drawingml/2006/main">
                        <a:graphicData uri="http://schemas.openxmlformats.org/drawingml/2006/picture">
                          <pic:pic xmlns:pic="http://schemas.openxmlformats.org/drawingml/2006/picture">
                            <pic:nvPicPr>
                              <pic:cNvPr id="74" name="图片_1"/>
                              <pic:cNvPicPr/>
                              <pic:nvPr/>
                            </pic:nvPicPr>
                            <pic:blipFill>
                              <a:blip r:embed="rId95"/>
                              <a:stretch/>
                            </pic:blipFill>
                            <pic:spPr bwMode="auto">
                              <a:xfrm>
                                <a:off x="0" y="0"/>
                                <a:ext cx="1133475" cy="1151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4384;o:allowoverlap:true;o:allowincell:true;mso-position-horizontal-relative:text;margin-left:4.0pt;mso-position-horizontal:absolute;mso-position-vertical-relative:text;margin-top:6.6pt;mso-position-vertical:absolute;width:89.2pt;height:90.7pt;mso-wrap-distance-left:9.0pt;mso-wrap-distance-top:0.0pt;mso-wrap-distance-right:9.0pt;mso-wrap-distance-bottom:0.0pt;" stroked="f">
                      <v:path textboxrect="0,0,0,0"/>
                      <v:imagedata r:id="rId95" o:title=""/>
                    </v:shape>
                  </w:pict>
                </mc:Fallback>
              </mc:AlternateContent>
            </w:r>
            <w:r/>
          </w:p>
        </w:tc>
      </w:tr>
      <w:tr>
        <w:trPr>
          <w:trHeight w:val="356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鼓泡预洗池</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1500*800*850±10%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1、一键式操作面板，LED温度显示设计；钢板采用国内优质板材含8个镍的304国标钢（1.0-3.0mm)；</w:t>
            </w:r>
            <w:r/>
          </w:p>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2、功率:≥ 5KW/220V ；</w:t>
            </w:r>
            <w:r/>
          </w:p>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3、选用超声波振子除油去污，再加上电热丝辅助设备，清洗的效果好。</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1536700"/>
                      <wp:effectExtent l="0" t="0" r="6350" b="6350"/>
                      <wp:wrapNone/>
                      <wp:docPr id="77" name="图片_151"/>
                      <wp:cNvGraphicFramePr/>
                      <a:graphic xmlns:a="http://schemas.openxmlformats.org/drawingml/2006/main">
                        <a:graphicData uri="http://schemas.openxmlformats.org/drawingml/2006/picture">
                          <pic:pic xmlns:pic="http://schemas.openxmlformats.org/drawingml/2006/picture">
                            <pic:nvPicPr>
                              <pic:cNvPr id="75" name="图片_151"/>
                              <pic:cNvPicPr/>
                              <pic:nvPr/>
                            </pic:nvPicPr>
                            <pic:blipFill>
                              <a:blip r:embed="rId96"/>
                              <a:stretch/>
                            </pic:blipFill>
                            <pic:spPr bwMode="auto">
                              <a:xfrm>
                                <a:off x="0" y="0"/>
                                <a:ext cx="1270000" cy="1536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4384;o:allowoverlap:true;o:allowincell:true;mso-position-horizontal-relative:text;margin-left:5.0pt;mso-position-horizontal:absolute;mso-position-vertical-relative:text;margin-top:5.0pt;mso-position-vertical:absolute;width:100.0pt;height:121.0pt;mso-wrap-distance-left:9.0pt;mso-wrap-distance-top:0.0pt;mso-wrap-distance-right:9.0pt;mso-wrap-distance-bottom:0.0pt;" stroked="f">
                      <v:path textboxrect="0,0,0,0"/>
                      <v:imagedata r:id="rId96"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单孔污碟台(方脚斜背）</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700*700*800/150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为SUS304不锈钢板，台面采用实际厚度1.0mm不锈钢板，台面横向、纵向配宽度为80mm不锈钢加强筋2根，采用点焊机无痕点焊，工作台带后背，下层四周围边38*25*实际厚度≥0.68mm的304不锈钢方管，脚管采用38*38*实际厚度0.8mm的304不锈钢方管支撑，脚为不锈钢可调整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78" name="图片_153"/>
                      <wp:cNvGraphicFramePr/>
                      <a:graphic xmlns:a="http://schemas.openxmlformats.org/drawingml/2006/main">
                        <a:graphicData uri="http://schemas.openxmlformats.org/drawingml/2006/picture">
                          <pic:pic xmlns:pic="http://schemas.openxmlformats.org/drawingml/2006/picture">
                            <pic:nvPicPr>
                              <pic:cNvPr id="76" name="图片_153"/>
                              <pic:cNvPicPr/>
                              <pic:nvPr/>
                            </pic:nvPicPr>
                            <pic:blipFill>
                              <a:blip r:embed="rId97"/>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97"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60L</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电压：3N-380V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1.每小时出水量：≥80L /h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2.单次大出水量：≥15L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3.内外胆采用全不锈钢板制作，配380V不锈钢电热管，配自动进水1套，断水装置1套，配温度表、电源指示灯；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4.座架采用1.0mm不锈钢板制作，脚用Ф32*1.0mm不锈钢圆管。</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316865</wp:posOffset>
                      </wp:positionH>
                      <wp:positionV relativeFrom="paragraph">
                        <wp:posOffset>80010</wp:posOffset>
                      </wp:positionV>
                      <wp:extent cx="561340" cy="652145"/>
                      <wp:effectExtent l="0" t="0" r="10160" b="14604"/>
                      <wp:wrapNone/>
                      <wp:docPr id="79" name="图片_132"/>
                      <wp:cNvGraphicFramePr/>
                      <a:graphic xmlns:a="http://schemas.openxmlformats.org/drawingml/2006/main">
                        <a:graphicData uri="http://schemas.openxmlformats.org/drawingml/2006/picture">
                          <pic:pic xmlns:pic="http://schemas.openxmlformats.org/drawingml/2006/picture">
                            <pic:nvPicPr>
                              <pic:cNvPr id="77" name="图片_132"/>
                              <pic:cNvPicPr/>
                              <pic:nvPr/>
                            </pic:nvPicPr>
                            <pic:blipFill>
                              <a:blip r:embed="rId98"/>
                              <a:stretch/>
                            </pic:blipFill>
                            <pic:spPr bwMode="auto">
                              <a:xfrm>
                                <a:off x="0" y="0"/>
                                <a:ext cx="561340" cy="65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4384;o:allowoverlap:true;o:allowincell:true;mso-position-horizontal-relative:text;margin-left:24.9pt;mso-position-horizontal:absolute;mso-position-vertical-relative:text;margin-top:6.3pt;mso-position-vertical:absolute;width:44.2pt;height:51.3pt;mso-wrap-distance-left:9.0pt;mso-wrap-distance-top:0.0pt;mso-wrap-distance-right:9.0pt;mso-wrap-distance-bottom:0.0pt;" stroked="f">
                      <v:path textboxrect="0,0,0,0"/>
                      <v:imagedata r:id="rId98"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方脚四层平板货架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1200*500*1550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1、优质304#磨砂不锈钢板材制作，板材厚度 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2、立柱1.0mm钢板定制，</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942340" cy="683895"/>
                      <wp:effectExtent l="0" t="0" r="10160" b="1905"/>
                      <wp:wrapNone/>
                      <wp:docPr id="80" name="图片_157"/>
                      <wp:cNvGraphicFramePr/>
                      <a:graphic xmlns:a="http://schemas.openxmlformats.org/drawingml/2006/main">
                        <a:graphicData uri="http://schemas.openxmlformats.org/drawingml/2006/picture">
                          <pic:pic xmlns:pic="http://schemas.openxmlformats.org/drawingml/2006/picture">
                            <pic:nvPicPr>
                              <pic:cNvPr id="78" name="图片_157"/>
                              <pic:cNvPicPr/>
                              <pic:nvPr/>
                            </pic:nvPicPr>
                            <pic:blipFill>
                              <a:blip r:embed="rId99"/>
                              <a:stretch/>
                            </pic:blipFill>
                            <pic:spPr bwMode="auto">
                              <a:xfrm>
                                <a:off x="0" y="0"/>
                                <a:ext cx="942340" cy="68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4384;o:allowoverlap:true;o:allowincell:true;mso-position-horizontal-relative:text;margin-left:5.0pt;mso-position-horizontal:absolute;mso-position-vertical-relative:text;margin-top:5.0pt;mso-position-vertical:absolute;width:74.2pt;height:53.8pt;mso-wrap-distance-left:9.0pt;mso-wrap-distance-top:0.0pt;mso-wrap-distance-right:9.0pt;mso-wrap-distance-bottom:0.0pt;" stroked="f">
                      <v:path textboxrect="0,0,0,0"/>
                      <v:imagedata r:id="rId99" o:title=""/>
                    </v:shape>
                  </w:pict>
                </mc:Fallback>
              </mc:AlternateContent>
            </w:r>
            <w:r/>
          </w:p>
        </w:tc>
      </w:tr>
      <w:tr>
        <w:trPr>
          <w:trHeight w:val="272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339090</wp:posOffset>
                      </wp:positionH>
                      <wp:positionV relativeFrom="paragraph">
                        <wp:posOffset>815340</wp:posOffset>
                      </wp:positionV>
                      <wp:extent cx="635" cy="63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635" cy="6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6432;o:allowoverlap:true;o:allowincell:true;mso-position-horizontal-relative:text;margin-left:26.7pt;mso-position-horizontal:absolute;mso-position-vertical-relative:text;margin-top:64.2pt;mso-position-vertical:absolute;width:0.0pt;height:0.0pt;mso-wrap-distance-left:9.0pt;mso-wrap-distance-top:0.0pt;mso-wrap-distance-right:9.0pt;mso-wrap-distance-bottom:0.0pt;" stroked="false">
                      <v:path textboxrect="0,0,0,0"/>
                      <v:imagedata r:id="rId100" o:title=""/>
                    </v:shape>
                  </w:pict>
                </mc:Fallback>
              </mc:AlternateContent>
            </w:r>
            <w:r>
              <w:rPr>
                <w:rFonts w:hint="eastAsia" w:ascii="宋体" w:hAnsi="宋体" w:eastAsia="宋体" w:cs="宋体"/>
                <w:i w:val="0"/>
                <w:iCs w:val="0"/>
                <w:color w:val="000000"/>
                <w:sz w:val="20"/>
                <w:szCs w:val="20"/>
                <w:u w:val="none"/>
                <w:lang w:val="en-US" w:eastAsia="zh-CN" w:bidi="ar"/>
              </w:rPr>
              <w:t xml:space="preserve">移门碗碟柜</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1、优质304#磨砂不锈钢板材制作，板材厚度1.2MM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2、支撑管采用40不锈钢管配可活动脚</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63500</wp:posOffset>
                      </wp:positionH>
                      <wp:positionV relativeFrom="paragraph">
                        <wp:posOffset>63500</wp:posOffset>
                      </wp:positionV>
                      <wp:extent cx="1270000" cy="824865"/>
                      <wp:effectExtent l="0" t="0" r="6350" b="13335"/>
                      <wp:wrapNone/>
                      <wp:docPr id="82" name="图片_159"/>
                      <wp:cNvGraphicFramePr/>
                      <a:graphic xmlns:a="http://schemas.openxmlformats.org/drawingml/2006/main">
                        <a:graphicData uri="http://schemas.openxmlformats.org/drawingml/2006/picture">
                          <pic:pic xmlns:pic="http://schemas.openxmlformats.org/drawingml/2006/picture">
                            <pic:nvPicPr>
                              <pic:cNvPr id="79" name="图片_159"/>
                              <pic:cNvPicPr/>
                              <pic:nvPr/>
                            </pic:nvPicPr>
                            <pic:blipFill>
                              <a:blip r:embed="rId101"/>
                              <a:stretch/>
                            </pic:blipFill>
                            <pic:spPr bwMode="auto">
                              <a:xfrm>
                                <a:off x="0" y="0"/>
                                <a:ext cx="1270000" cy="82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4384;o:allowoverlap:true;o:allowincell:true;mso-position-horizontal-relative:text;margin-left:5.0pt;mso-position-horizontal:absolute;mso-position-vertical-relative:text;margin-top:5.0pt;mso-position-vertical:absolute;width:100.0pt;height:65.0pt;mso-wrap-distance-left:9.0pt;mso-wrap-distance-top:0.0pt;mso-wrap-distance-right:9.0pt;mso-wrap-distance-bottom:0.0pt;" stroked="f">
                      <v:path textboxrect="0,0,0,0"/>
                      <v:imagedata r:id="rId101" o:title=""/>
                    </v:shape>
                  </w:pict>
                </mc:Fallback>
              </mc:AlternateContent>
            </w:r>
            <w:r/>
          </w:p>
        </w:tc>
      </w:tr>
      <w:tr>
        <w:trPr>
          <w:trHeight w:val="628"/>
        </w:trPr>
        <w:tc>
          <w:tcPr>
            <w:shd w:val="clear" w:color="auto" w:fill="auto"/>
            <w:tcBorders>
              <w:top w:val="single" w:color="000000" w:sz="4" w:space="0"/>
              <w:left w:val="single" w:color="000000" w:sz="4" w:space="0"/>
              <w:bottom w:val="single" w:color="000000" w:sz="4" w:space="0"/>
              <w:right w:val="single" w:color="auto" w:sz="4" w:space="0"/>
            </w:tcBorders>
            <w:tcW w:w="1107"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18</w:t>
            </w:r>
            <w:r/>
          </w:p>
        </w:tc>
        <w:tc>
          <w:tcPr>
            <w:shd w:val="clear" w:color="auto" w:fill="auto"/>
            <w:tcBorders>
              <w:top w:val="single" w:color="000000" w:sz="4" w:space="0"/>
              <w:left w:val="single" w:color="auto"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排油烟系统</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43"/>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后倾式高压柜式风机</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整体为框架结构，无焊接方便拆卸，箱体采用优质防水防锈防腐蚀镀锌板材折边成型；风机叶轮采用后倾式双吸口；采用全钢轴承，耐高温，运转平稳，使用寿命长；采用快速开门模式，顶底和柱子均是一块板拆成型，减少了接口和机身四角，接口和缝隙处都涂上密封胶，保证了风机的密封性。螺丝用8.8级超强度自锁螺帽，可整体拆卸方便安装。皮带轮硬度大，稳定性好。 电机架和底部采用镀锌槽钢和镀锌角铁，耐腐蚀，使用寿命长。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所投后倾式高压柜式风机整机参照GB/T2651-2023，GB/T2652-2022，GB/T2653-2008，GB/T2650-2022，GB/T26955-2011标准检测：抗拉强度≥350Mpa，断后伸长率≥20%，弯曲角度≥140°，冲击吸收能量平均值≥60KV2/J，未发现有未焊透、未融合等缺陷。</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498475</wp:posOffset>
                      </wp:positionH>
                      <wp:positionV relativeFrom="paragraph">
                        <wp:posOffset>1219200</wp:posOffset>
                      </wp:positionV>
                      <wp:extent cx="835025" cy="791210"/>
                      <wp:effectExtent l="0" t="0" r="3175" b="8890"/>
                      <wp:wrapNone/>
                      <wp:docPr id="83" name="图片_80"/>
                      <wp:cNvGraphicFramePr/>
                      <a:graphic xmlns:a="http://schemas.openxmlformats.org/drawingml/2006/main">
                        <a:graphicData uri="http://schemas.openxmlformats.org/drawingml/2006/picture">
                          <pic:pic xmlns:pic="http://schemas.openxmlformats.org/drawingml/2006/picture">
                            <pic:nvPicPr>
                              <pic:cNvPr id="80" name="图片_80"/>
                              <pic:cNvPicPr/>
                              <pic:nvPr/>
                            </pic:nvPicPr>
                            <pic:blipFill>
                              <a:blip r:embed="rId102"/>
                              <a:stretch/>
                            </pic:blipFill>
                            <pic:spPr bwMode="auto">
                              <a:xfrm>
                                <a:off x="0" y="0"/>
                                <a:ext cx="835025" cy="791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4384;o:allowoverlap:true;o:allowincell:true;mso-position-horizontal-relative:text;margin-left:39.2pt;mso-position-horizontal:absolute;mso-position-vertical-relative:text;margin-top:96.0pt;mso-position-vertical:absolute;width:65.8pt;height:62.3pt;mso-wrap-distance-left:9.0pt;mso-wrap-distance-top:0.0pt;mso-wrap-distance-right:9.0pt;mso-wrap-distance-bottom:0.0pt;" stroked="f">
                      <v:path textboxrect="0,0,0,0"/>
                      <v:imagedata r:id="rId102" o:title=""/>
                    </v:shape>
                  </w:pict>
                </mc:Fallback>
              </mc:AlternateContent>
            </w:r>
            <w:r/>
          </w:p>
        </w:tc>
      </w:tr>
      <w:tr>
        <w:trPr>
          <w:trHeight w:val="453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30000m³/h</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1.设备外壳由冷板材料制成，外表必须覆盖结实耐用的环氧树脂漆，净化效率 95% 以上，为高效净化区+深度净化区两级结构，电场为不锈钢材质。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2.数字化操作和显示，可显示运行电流、故障代码等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3.开门断电：更好的保护操作人员安全。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4.设备具备两种工作模式：高效模式.智能模式。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、所投低空油烟净化器整机参照GB/T2651-2023，GB/T2652-2022，GB/T2653-2008，GB/T2650-2022标准检测：抗拉强度≥400Rm/Mpa，断后伸长率≥10%，弯曲角度≥110°，冲击吸收能量平均值≥60KV2/J；</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107950</wp:posOffset>
                      </wp:positionH>
                      <wp:positionV relativeFrom="paragraph">
                        <wp:posOffset>678180</wp:posOffset>
                      </wp:positionV>
                      <wp:extent cx="775335" cy="864235"/>
                      <wp:effectExtent l="0" t="0" r="5715" b="12065"/>
                      <wp:wrapNone/>
                      <wp:docPr id="84" name="图片_6"/>
                      <wp:cNvGraphicFramePr/>
                      <a:graphic xmlns:a="http://schemas.openxmlformats.org/drawingml/2006/main">
                        <a:graphicData uri="http://schemas.openxmlformats.org/drawingml/2006/picture">
                          <pic:pic xmlns:pic="http://schemas.openxmlformats.org/drawingml/2006/picture">
                            <pic:nvPicPr>
                              <pic:cNvPr id="81" name="图片_6"/>
                              <pic:cNvPicPr/>
                              <pic:nvPr/>
                            </pic:nvPicPr>
                            <pic:blipFill>
                              <a:blip r:embed="rId103"/>
                              <a:stretch/>
                            </pic:blipFill>
                            <pic:spPr bwMode="auto">
                              <a:xfrm>
                                <a:off x="0" y="0"/>
                                <a:ext cx="775334"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4384;o:allowoverlap:true;o:allowincell:true;mso-position-horizontal-relative:text;margin-left:8.5pt;mso-position-horizontal:absolute;mso-position-vertical-relative:text;margin-top:53.4pt;mso-position-vertical:absolute;width:61.0pt;height:68.0pt;mso-wrap-distance-left:9.0pt;mso-wrap-distance-top:0.0pt;mso-wrap-distance-right:9.0pt;mso-wrap-distance-bottom:0.0pt;" stroked="f">
                      <v:path textboxrect="0,0,0,0"/>
                      <v:imagedata r:id="rId103" o:title=""/>
                    </v:shape>
                  </w:pict>
                </mc:Fallback>
              </mc:AlternateContent>
            </w:r>
            <w:r/>
          </w:p>
        </w:tc>
      </w:tr>
      <w:tr>
        <w:trPr>
          <w:trHeight w:val="3074"/>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低噪音高压柜式风机</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7.5KW</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sz w:val="20"/>
                <w:szCs w:val="20"/>
                <w:u w:val="none"/>
                <w:lang w:val="en-US" w:eastAsia="zh-CN" w:bidi="ar"/>
              </w:rPr>
              <w:t xml:space="preserve">风机整体为框架结构，无焊接方便拆卸，箱体采用优质防水防锈防腐蚀镀锌板材折边成型；采用全钢轴承，耐高温，运转平稳，使用寿命长；采用快速开门模式，顶底和柱子均是一块板拆成型，减少了接口和机身四角，接口和缝隙处都涂上密封胶，保证了风机的密封性。螺丝用8.8级超强度自锁螺帽，可整体拆卸方便安装。皮带轮硬度大，稳定性好。 电机架和底部采用</w:t>
            </w: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镀锌槽钢和镀锌角铁，耐腐蚀，使用寿命长。 </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所投低噪音高压柜式风机整机参照GB/T2651-2023，GB/T2652-2022，GB/T2653-2008，GB/T2650-2022，GB/T26955-2011标准检测，抗拉强度≥350Mpa，断后伸长率≥20%，弯曲角度≥140°，冲击吸收能量平均值≥60KV2/J，未发现有未焊透、未融合等缺陷。</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349250</wp:posOffset>
                      </wp:positionH>
                      <wp:positionV relativeFrom="paragraph">
                        <wp:posOffset>76200</wp:posOffset>
                      </wp:positionV>
                      <wp:extent cx="810260" cy="825500"/>
                      <wp:effectExtent l="0" t="0" r="8890" b="12700"/>
                      <wp:wrapNone/>
                      <wp:docPr id="85" name="图片_84"/>
                      <wp:cNvGraphicFramePr/>
                      <a:graphic xmlns:a="http://schemas.openxmlformats.org/drawingml/2006/main">
                        <a:graphicData uri="http://schemas.openxmlformats.org/drawingml/2006/picture">
                          <pic:pic xmlns:pic="http://schemas.openxmlformats.org/drawingml/2006/picture">
                            <pic:nvPicPr>
                              <pic:cNvPr id="82" name="图片_84"/>
                              <pic:cNvPicPr/>
                              <pic:nvPr/>
                            </pic:nvPicPr>
                            <pic:blipFill>
                              <a:blip r:embed="rId104"/>
                              <a:stretch/>
                            </pic:blipFill>
                            <pic:spPr bwMode="auto">
                              <a:xfrm>
                                <a:off x="0" y="0"/>
                                <a:ext cx="810260" cy="82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4384;o:allowoverlap:true;o:allowincell:true;mso-position-horizontal-relative:text;margin-left:27.5pt;mso-position-horizontal:absolute;mso-position-vertical-relative:text;margin-top:6.0pt;mso-position-vertical:absolute;width:63.8pt;height:65.0pt;mso-wrap-distance-left:9.0pt;mso-wrap-distance-top:0.0pt;mso-wrap-distance-right:9.0pt;mso-wrap-distance-bottom:0.0pt;" stroked="f">
                      <v:path textboxrect="0,0,0,0"/>
                      <v:imagedata r:id="rId104" o:title=""/>
                    </v:shape>
                  </w:pict>
                </mc:Fallback>
              </mc:AlternateConten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轴流风机</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电压:380V;功率:2KW</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82550</wp:posOffset>
                      </wp:positionH>
                      <wp:positionV relativeFrom="paragraph">
                        <wp:posOffset>44450</wp:posOffset>
                      </wp:positionV>
                      <wp:extent cx="1264285" cy="1115695"/>
                      <wp:effectExtent l="0" t="0" r="12065" b="8255"/>
                      <wp:wrapNone/>
                      <wp:docPr id="86" name="图片_120"/>
                      <wp:cNvGraphicFramePr/>
                      <a:graphic xmlns:a="http://schemas.openxmlformats.org/drawingml/2006/main">
                        <a:graphicData uri="http://schemas.openxmlformats.org/drawingml/2006/picture">
                          <pic:pic xmlns:pic="http://schemas.openxmlformats.org/drawingml/2006/picture">
                            <pic:nvPicPr>
                              <pic:cNvPr id="83" name="图片_120"/>
                              <pic:cNvPicPr/>
                              <pic:nvPr/>
                            </pic:nvPicPr>
                            <pic:blipFill>
                              <a:blip r:embed="rId105"/>
                              <a:stretch/>
                            </pic:blipFill>
                            <pic:spPr bwMode="auto">
                              <a:xfrm>
                                <a:off x="0" y="0"/>
                                <a:ext cx="1264285" cy="1115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4384;o:allowoverlap:true;o:allowincell:true;mso-position-horizontal-relative:text;margin-left:6.5pt;mso-position-horizontal:absolute;mso-position-vertical-relative:text;margin-top:3.5pt;mso-position-vertical:absolute;width:99.5pt;height:87.8pt;mso-wrap-distance-left:9.0pt;mso-wrap-distance-top:0.0pt;mso-wrap-distance-right:9.0pt;mso-wrap-distance-bottom:0.0pt;" stroked="f">
                      <v:path textboxrect="0,0,0,0"/>
                      <v:imagedata r:id="rId105"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304800</wp:posOffset>
                      </wp:positionH>
                      <wp:positionV relativeFrom="paragraph">
                        <wp:posOffset>177800</wp:posOffset>
                      </wp:positionV>
                      <wp:extent cx="695960" cy="314960"/>
                      <wp:effectExtent l="0" t="0" r="8890" b="8890"/>
                      <wp:wrapNone/>
                      <wp:docPr id="87" name="图片_46"/>
                      <wp:cNvGraphicFramePr/>
                      <a:graphic xmlns:a="http://schemas.openxmlformats.org/drawingml/2006/main">
                        <a:graphicData uri="http://schemas.openxmlformats.org/drawingml/2006/picture">
                          <pic:pic xmlns:pic="http://schemas.openxmlformats.org/drawingml/2006/picture">
                            <pic:nvPicPr>
                              <pic:cNvPr id="84" name="图片_46"/>
                              <pic:cNvPicPr/>
                              <pic:nvPr/>
                            </pic:nvPicPr>
                            <pic:blipFill>
                              <a:blip r:embed="rId106"/>
                              <a:stretch/>
                            </pic:blipFill>
                            <pic:spPr bwMode="auto">
                              <a:xfrm>
                                <a:off x="0" y="0"/>
                                <a:ext cx="695960" cy="3149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4384;o:allowoverlap:true;o:allowincell:true;mso-position-horizontal-relative:text;margin-left:24.0pt;mso-position-horizontal:absolute;mso-position-vertical-relative:text;margin-top:14.0pt;mso-position-vertical:absolute;width:54.8pt;height:24.8pt;mso-wrap-distance-left:9.0pt;mso-wrap-distance-top:0.0pt;mso-wrap-distance-right:9.0pt;mso-wrap-distance-bottom:0.0pt;" stroked="f">
                      <v:path textboxrect="0,0,0,0"/>
                      <v:imagedata r:id="rId106"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800*900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采用优质304不锈钢厚度1.0mm制作</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276225</wp:posOffset>
                      </wp:positionH>
                      <wp:positionV relativeFrom="paragraph">
                        <wp:posOffset>168275</wp:posOffset>
                      </wp:positionV>
                      <wp:extent cx="695960" cy="314960"/>
                      <wp:effectExtent l="0" t="0" r="8890" b="8890"/>
                      <wp:wrapNone/>
                      <wp:docPr id="88" name="图片_48"/>
                      <wp:cNvGraphicFramePr/>
                      <a:graphic xmlns:a="http://schemas.openxmlformats.org/drawingml/2006/main">
                        <a:graphicData uri="http://schemas.openxmlformats.org/drawingml/2006/picture">
                          <pic:pic xmlns:pic="http://schemas.openxmlformats.org/drawingml/2006/picture">
                            <pic:nvPicPr>
                              <pic:cNvPr id="85" name="图片_48"/>
                              <pic:cNvPicPr/>
                              <pic:nvPr/>
                            </pic:nvPicPr>
                            <pic:blipFill>
                              <a:blip r:embed="rId107"/>
                              <a:stretch/>
                            </pic:blipFill>
                            <pic:spPr bwMode="auto">
                              <a:xfrm>
                                <a:off x="0" y="0"/>
                                <a:ext cx="695960" cy="314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4384;o:allowoverlap:true;o:allowincell:true;mso-position-horizontal-relative:text;margin-left:21.8pt;mso-position-horizontal:absolute;mso-position-vertical-relative:text;margin-top:13.2pt;mso-position-vertical:absolute;width:54.8pt;height:24.8pt;mso-wrap-distance-left:9.0pt;mso-wrap-distance-top:0.0pt;mso-wrap-distance-right:9.0pt;mso-wrap-distance-bottom:0.0pt;" stroked="f">
                      <v:path textboxrect="0,0,0,0"/>
                      <v:imagedata r:id="rId107"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采用优质304不锈钢厚度1.0mm制作</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219075</wp:posOffset>
                      </wp:positionH>
                      <wp:positionV relativeFrom="paragraph">
                        <wp:posOffset>130175</wp:posOffset>
                      </wp:positionV>
                      <wp:extent cx="695960" cy="314960"/>
                      <wp:effectExtent l="0" t="0" r="8890" b="8890"/>
                      <wp:wrapNone/>
                      <wp:docPr id="89" name="图片_50"/>
                      <wp:cNvGraphicFramePr/>
                      <a:graphic xmlns:a="http://schemas.openxmlformats.org/drawingml/2006/main">
                        <a:graphicData uri="http://schemas.openxmlformats.org/drawingml/2006/picture">
                          <pic:pic xmlns:pic="http://schemas.openxmlformats.org/drawingml/2006/picture">
                            <pic:nvPicPr>
                              <pic:cNvPr id="86" name="图片_50"/>
                              <pic:cNvPicPr/>
                              <pic:nvPr/>
                            </pic:nvPicPr>
                            <pic:blipFill>
                              <a:blip r:embed="rId108"/>
                              <a:stretch/>
                            </pic:blipFill>
                            <pic:spPr bwMode="auto">
                              <a:xfrm>
                                <a:off x="0" y="0"/>
                                <a:ext cx="695960" cy="314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4384;o:allowoverlap:true;o:allowincell:true;mso-position-horizontal-relative:text;margin-left:17.2pt;mso-position-horizontal:absolute;mso-position-vertical-relative:text;margin-top:10.2pt;mso-position-vertical:absolute;width:54.8pt;height:24.8pt;mso-wrap-distance-left:9.0pt;mso-wrap-distance-top:0.0pt;mso-wrap-distance-right:9.0pt;mso-wrap-distance-bottom:0.0pt;" stroked="f">
                      <v:path textboxrect="0,0,0,0"/>
                      <v:imagedata r:id="rId108"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采用优质304不锈钢厚度1.0mm制作</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276225</wp:posOffset>
                      </wp:positionH>
                      <wp:positionV relativeFrom="paragraph">
                        <wp:posOffset>168275</wp:posOffset>
                      </wp:positionV>
                      <wp:extent cx="695960" cy="314960"/>
                      <wp:effectExtent l="0" t="0" r="8890" b="8890"/>
                      <wp:wrapNone/>
                      <wp:docPr id="90" name="图片_88"/>
                      <wp:cNvGraphicFramePr/>
                      <a:graphic xmlns:a="http://schemas.openxmlformats.org/drawingml/2006/main">
                        <a:graphicData uri="http://schemas.openxmlformats.org/drawingml/2006/picture">
                          <pic:pic xmlns:pic="http://schemas.openxmlformats.org/drawingml/2006/picture">
                            <pic:nvPicPr>
                              <pic:cNvPr id="87" name="图片_88"/>
                              <pic:cNvPicPr/>
                              <pic:nvPr/>
                            </pic:nvPicPr>
                            <pic:blipFill>
                              <a:blip r:embed="rId109"/>
                              <a:stretch/>
                            </pic:blipFill>
                            <pic:spPr bwMode="auto">
                              <a:xfrm>
                                <a:off x="0" y="0"/>
                                <a:ext cx="695960" cy="314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4384;o:allowoverlap:true;o:allowincell:true;mso-position-horizontal-relative:text;margin-left:21.8pt;mso-position-horizontal:absolute;mso-position-vertical-relative:text;margin-top:13.2pt;mso-position-vertical:absolute;width:54.8pt;height:24.8pt;mso-wrap-distance-left:9.0pt;mso-wrap-distance-top:0.0pt;mso-wrap-distance-right:9.0pt;mso-wrap-distance-bottom:0.0pt;" stroked="f">
                      <v:path textboxrect="0,0,0,0"/>
                      <v:imagedata r:id="rId109"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285750</wp:posOffset>
                      </wp:positionH>
                      <wp:positionV relativeFrom="paragraph">
                        <wp:posOffset>158750</wp:posOffset>
                      </wp:positionV>
                      <wp:extent cx="695960" cy="314960"/>
                      <wp:effectExtent l="0" t="0" r="8890" b="8890"/>
                      <wp:wrapNone/>
                      <wp:docPr id="91" name="图片_78"/>
                      <wp:cNvGraphicFramePr/>
                      <a:graphic xmlns:a="http://schemas.openxmlformats.org/drawingml/2006/main">
                        <a:graphicData uri="http://schemas.openxmlformats.org/drawingml/2006/picture">
                          <pic:pic xmlns:pic="http://schemas.openxmlformats.org/drawingml/2006/picture">
                            <pic:nvPicPr>
                              <pic:cNvPr id="88" name="图片_78"/>
                              <pic:cNvPicPr/>
                              <pic:nvPr/>
                            </pic:nvPicPr>
                            <pic:blipFill>
                              <a:blip r:embed="rId110"/>
                              <a:stretch/>
                            </pic:blipFill>
                            <pic:spPr bwMode="auto">
                              <a:xfrm>
                                <a:off x="0" y="0"/>
                                <a:ext cx="695960" cy="314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4384;o:allowoverlap:true;o:allowincell:true;mso-position-horizontal-relative:text;margin-left:22.5pt;mso-position-horizontal:absolute;mso-position-vertical-relative:text;margin-top:12.5pt;mso-position-vertical:absolute;width:54.8pt;height:24.8pt;mso-wrap-distance-left:9.0pt;mso-wrap-distance-top:0.0pt;mso-wrap-distance-right:9.0pt;mso-wrap-distance-bottom:0.0pt;" stroked="f">
                      <v:path textboxrect="0,0,0,0"/>
                      <v:imagedata r:id="rId110"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采用优质304不锈钢厚度1.0mm制作</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304800</wp:posOffset>
                      </wp:positionH>
                      <wp:positionV relativeFrom="paragraph">
                        <wp:posOffset>63500</wp:posOffset>
                      </wp:positionV>
                      <wp:extent cx="1038860" cy="448945"/>
                      <wp:effectExtent l="0" t="0" r="8890" b="8255"/>
                      <wp:wrapNone/>
                      <wp:docPr id="92" name="图片_52"/>
                      <wp:cNvGraphicFramePr/>
                      <a:graphic xmlns:a="http://schemas.openxmlformats.org/drawingml/2006/main">
                        <a:graphicData uri="http://schemas.openxmlformats.org/drawingml/2006/picture">
                          <pic:pic xmlns:pic="http://schemas.openxmlformats.org/drawingml/2006/picture">
                            <pic:nvPicPr>
                              <pic:cNvPr id="89" name="图片_52"/>
                              <pic:cNvPicPr/>
                              <pic:nvPr/>
                            </pic:nvPicPr>
                            <pic:blipFill>
                              <a:blip r:embed="rId111"/>
                              <a:stretch/>
                            </pic:blipFill>
                            <pic:spPr bwMode="auto">
                              <a:xfrm>
                                <a:off x="0" y="0"/>
                                <a:ext cx="1038860" cy="448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4384;o:allowoverlap:true;o:allowincell:true;mso-position-horizontal-relative:text;margin-left:24.0pt;mso-position-horizontal:absolute;mso-position-vertical-relative:text;margin-top:5.0pt;mso-position-vertical:absolute;width:81.8pt;height:35.4pt;mso-wrap-distance-left:9.0pt;mso-wrap-distance-top:0.0pt;mso-wrap-distance-right:9.0pt;mso-wrap-distance-bottom:0.0pt;" stroked="f">
                      <v:path textboxrect="0,0,0,0"/>
                      <v:imagedata r:id="rId111" o:title=""/>
                    </v:shape>
                  </w:pict>
                </mc:Fallback>
              </mc:AlternateConten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采用优质304不锈钢厚度1.0mm制作</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123825</wp:posOffset>
                      </wp:positionH>
                      <wp:positionV relativeFrom="paragraph">
                        <wp:posOffset>63500</wp:posOffset>
                      </wp:positionV>
                      <wp:extent cx="1038860" cy="495935"/>
                      <wp:effectExtent l="0" t="0" r="8890" b="18415"/>
                      <wp:wrapNone/>
                      <wp:docPr id="93" name="图片_54"/>
                      <wp:cNvGraphicFramePr/>
                      <a:graphic xmlns:a="http://schemas.openxmlformats.org/drawingml/2006/main">
                        <a:graphicData uri="http://schemas.openxmlformats.org/drawingml/2006/picture">
                          <pic:pic xmlns:pic="http://schemas.openxmlformats.org/drawingml/2006/picture">
                            <pic:nvPicPr>
                              <pic:cNvPr id="90" name="图片_54"/>
                              <pic:cNvPicPr/>
                              <pic:nvPr/>
                            </pic:nvPicPr>
                            <pic:blipFill>
                              <a:blip r:embed="rId112"/>
                              <a:stretch/>
                            </pic:blipFill>
                            <pic:spPr bwMode="auto">
                              <a:xfrm>
                                <a:off x="0" y="0"/>
                                <a:ext cx="1038860"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4384;o:allowoverlap:true;o:allowincell:true;mso-position-horizontal-relative:text;margin-left:9.8pt;mso-position-horizontal:absolute;mso-position-vertical-relative:text;margin-top:5.0pt;mso-position-vertical:absolute;width:81.8pt;height:39.0pt;mso-wrap-distance-left:9.0pt;mso-wrap-distance-top:0.0pt;mso-wrap-distance-right:9.0pt;mso-wrap-distance-bottom:0.0pt;" stroked="f">
                      <v:path textboxrect="0,0,0,0"/>
                      <v:imagedata r:id="rId112" o:title=""/>
                    </v:shape>
                  </w:pict>
                </mc:Fallback>
              </mc:AlternateConten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18.10</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采用优质304不锈钢厚度1.0mm制作</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129540</wp:posOffset>
                      </wp:positionH>
                      <wp:positionV relativeFrom="paragraph">
                        <wp:posOffset>505460</wp:posOffset>
                      </wp:positionV>
                      <wp:extent cx="962660" cy="346075"/>
                      <wp:effectExtent l="0" t="0" r="8890" b="15875"/>
                      <wp:wrapNone/>
                      <wp:docPr id="94" name="图片_56"/>
                      <wp:cNvGraphicFramePr/>
                      <a:graphic xmlns:a="http://schemas.openxmlformats.org/drawingml/2006/main">
                        <a:graphicData uri="http://schemas.openxmlformats.org/drawingml/2006/picture">
                          <pic:pic xmlns:pic="http://schemas.openxmlformats.org/drawingml/2006/picture">
                            <pic:nvPicPr>
                              <pic:cNvPr id="91" name="图片_56"/>
                              <pic:cNvPicPr/>
                              <pic:nvPr/>
                            </pic:nvPicPr>
                            <pic:blipFill>
                              <a:blip r:embed="rId113"/>
                              <a:stretch/>
                            </pic:blipFill>
                            <pic:spPr bwMode="auto">
                              <a:xfrm>
                                <a:off x="0" y="0"/>
                                <a:ext cx="962660" cy="346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4384;o:allowoverlap:true;o:allowincell:true;mso-position-horizontal-relative:text;margin-left:10.2pt;mso-position-horizontal:absolute;mso-position-vertical-relative:text;margin-top:39.8pt;mso-position-vertical:absolute;width:75.8pt;height:27.2pt;mso-wrap-distance-left:9.0pt;mso-wrap-distance-top:0.0pt;mso-wrap-distance-right:9.0pt;mso-wrap-distance-bottom:0.0pt;" stroked="f">
                      <v:path textboxrect="0,0,0,0"/>
                      <v:imagedata r:id="rId113"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采用优质304不锈钢厚度1.0mm制作</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304800</wp:posOffset>
                      </wp:positionH>
                      <wp:positionV relativeFrom="paragraph">
                        <wp:posOffset>63500</wp:posOffset>
                      </wp:positionV>
                      <wp:extent cx="1038860" cy="448945"/>
                      <wp:effectExtent l="0" t="0" r="8890" b="8255"/>
                      <wp:wrapNone/>
                      <wp:docPr id="95" name="图片_92"/>
                      <wp:cNvGraphicFramePr/>
                      <a:graphic xmlns:a="http://schemas.openxmlformats.org/drawingml/2006/main">
                        <a:graphicData uri="http://schemas.openxmlformats.org/drawingml/2006/picture">
                          <pic:pic xmlns:pic="http://schemas.openxmlformats.org/drawingml/2006/picture">
                            <pic:nvPicPr>
                              <pic:cNvPr id="92" name="图片_92"/>
                              <pic:cNvPicPr/>
                              <pic:nvPr/>
                            </pic:nvPicPr>
                            <pic:blipFill>
                              <a:blip r:embed="rId114"/>
                              <a:stretch/>
                            </pic:blipFill>
                            <pic:spPr bwMode="auto">
                              <a:xfrm>
                                <a:off x="0" y="0"/>
                                <a:ext cx="1038860" cy="448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4384;o:allowoverlap:true;o:allowincell:true;mso-position-horizontal-relative:text;margin-left:24.0pt;mso-position-horizontal:absolute;mso-position-vertical-relative:text;margin-top:5.0pt;mso-position-vertical:absolute;width:81.8pt;height:35.4pt;mso-wrap-distance-left:9.0pt;mso-wrap-distance-top:0.0pt;mso-wrap-distance-right:9.0pt;mso-wrap-distance-bottom:0.0pt;" stroked="f">
                      <v:path textboxrect="0,0,0,0"/>
                      <v:imagedata r:id="rId114"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不锈钢变径</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采用优质304不锈钢厚度1.0mm制作</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123825</wp:posOffset>
                      </wp:positionH>
                      <wp:positionV relativeFrom="paragraph">
                        <wp:posOffset>63500</wp:posOffset>
                      </wp:positionV>
                      <wp:extent cx="1038860" cy="495935"/>
                      <wp:effectExtent l="0" t="0" r="8890" b="18415"/>
                      <wp:wrapNone/>
                      <wp:docPr id="96" name="图片_93"/>
                      <wp:cNvGraphicFramePr/>
                      <a:graphic xmlns:a="http://schemas.openxmlformats.org/drawingml/2006/main">
                        <a:graphicData uri="http://schemas.openxmlformats.org/drawingml/2006/picture">
                          <pic:pic xmlns:pic="http://schemas.openxmlformats.org/drawingml/2006/picture">
                            <pic:nvPicPr>
                              <pic:cNvPr id="93" name="图片_93"/>
                              <pic:cNvPicPr/>
                              <pic:nvPr/>
                            </pic:nvPicPr>
                            <pic:blipFill>
                              <a:blip r:embed="rId115"/>
                              <a:stretch/>
                            </pic:blipFill>
                            <pic:spPr bwMode="auto">
                              <a:xfrm>
                                <a:off x="0" y="0"/>
                                <a:ext cx="1038860"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4384;o:allowoverlap:true;o:allowincell:true;mso-position-horizontal-relative:text;margin-left:9.8pt;mso-position-horizontal:absolute;mso-position-vertical-relative:text;margin-top:5.0pt;mso-position-vertical:absolute;width:81.8pt;height:39.0pt;mso-wrap-distance-left:9.0pt;mso-wrap-distance-top:0.0pt;mso-wrap-distance-right:9.0pt;mso-wrap-distance-bottom:0.0pt;" stroked="f">
                      <v:path textboxrect="0,0,0,0"/>
                      <v:imagedata r:id="rId115"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采用帆布制作</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228600</wp:posOffset>
                      </wp:positionH>
                      <wp:positionV relativeFrom="paragraph">
                        <wp:posOffset>177800</wp:posOffset>
                      </wp:positionV>
                      <wp:extent cx="962660" cy="346075"/>
                      <wp:effectExtent l="0" t="0" r="8890" b="15875"/>
                      <wp:wrapNone/>
                      <wp:docPr id="97" name="图片_94"/>
                      <wp:cNvGraphicFramePr/>
                      <a:graphic xmlns:a="http://schemas.openxmlformats.org/drawingml/2006/main">
                        <a:graphicData uri="http://schemas.openxmlformats.org/drawingml/2006/picture">
                          <pic:pic xmlns:pic="http://schemas.openxmlformats.org/drawingml/2006/picture">
                            <pic:nvPicPr>
                              <pic:cNvPr id="94" name="图片_94"/>
                              <pic:cNvPicPr/>
                              <pic:nvPr/>
                            </pic:nvPicPr>
                            <pic:blipFill>
                              <a:blip r:embed="rId116"/>
                              <a:stretch/>
                            </pic:blipFill>
                            <pic:spPr bwMode="auto">
                              <a:xfrm>
                                <a:off x="0" y="0"/>
                                <a:ext cx="962660" cy="346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64384;o:allowoverlap:true;o:allowincell:true;mso-position-horizontal-relative:text;margin-left:18.0pt;mso-position-horizontal:absolute;mso-position-vertical-relative:text;margin-top:14.0pt;mso-position-vertical:absolute;width:75.8pt;height:27.2pt;mso-wrap-distance-left:9.0pt;mso-wrap-distance-top:0.0pt;mso-wrap-distance-right:9.0pt;mso-wrap-distance-bottom:0.0pt;" stroked="f">
                      <v:path textboxrect="0,0,0,0"/>
                      <v:imagedata r:id="rId116"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减震器</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橡胶制作</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734060" cy="590550"/>
                      <wp:effectExtent l="0" t="0" r="8890" b="0"/>
                      <wp:wrapNone/>
                      <wp:docPr id="98" name="图片_96"/>
                      <wp:cNvGraphicFramePr/>
                      <a:graphic xmlns:a="http://schemas.openxmlformats.org/drawingml/2006/main">
                        <a:graphicData uri="http://schemas.openxmlformats.org/drawingml/2006/picture">
                          <pic:pic xmlns:pic="http://schemas.openxmlformats.org/drawingml/2006/picture">
                            <pic:nvPicPr>
                              <pic:cNvPr id="95" name="图片_96"/>
                              <pic:cNvPicPr/>
                              <pic:nvPr/>
                            </pic:nvPicPr>
                            <pic:blipFill>
                              <a:blip r:embed="rId117"/>
                              <a:stretch/>
                            </pic:blipFill>
                            <pic:spPr bwMode="auto">
                              <a:xfrm>
                                <a:off x="0" y="0"/>
                                <a:ext cx="734060" cy="5905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4384;o:allowoverlap:true;o:allowincell:true;mso-position-horizontal-relative:text;margin-left:0.0pt;mso-position-horizontal:absolute;mso-position-vertical-relative:text;margin-top:0.0pt;mso-position-vertical:absolute;width:57.8pt;height:46.5pt;mso-wrap-distance-left:9.0pt;mso-wrap-distance-top:0.0pt;mso-wrap-distance-right:9.0pt;mso-wrap-distance-bottom:0.0pt;" stroked="f">
                      <v:path textboxrect="0,0,0,0"/>
                      <v:imagedata r:id="rId117"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角铁法兰</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材质不锈钢厚4mm</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734060" cy="476250"/>
                      <wp:effectExtent l="0" t="0" r="8890" b="0"/>
                      <wp:wrapNone/>
                      <wp:docPr id="99" name="图片_98"/>
                      <wp:cNvGraphicFramePr/>
                      <a:graphic xmlns:a="http://schemas.openxmlformats.org/drawingml/2006/main">
                        <a:graphicData uri="http://schemas.openxmlformats.org/drawingml/2006/picture">
                          <pic:pic xmlns:pic="http://schemas.openxmlformats.org/drawingml/2006/picture">
                            <pic:nvPicPr>
                              <pic:cNvPr id="96" name="图片_98"/>
                              <pic:cNvPicPr/>
                              <pic:nvPr/>
                            </pic:nvPicPr>
                            <pic:blipFill>
                              <a:blip r:embed="rId118"/>
                              <a:stretch/>
                            </pic:blipFill>
                            <pic:spPr bwMode="auto">
                              <a:xfrm>
                                <a:off x="0" y="0"/>
                                <a:ext cx="73406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4384;o:allowoverlap:true;o:allowincell:true;mso-position-horizontal-relative:text;margin-left:0.0pt;mso-position-horizontal:absolute;mso-position-vertical-relative:text;margin-top:0.0pt;mso-position-vertical:absolute;width:57.8pt;height:37.5pt;mso-wrap-distance-left:9.0pt;mso-wrap-distance-top:0.0pt;mso-wrap-distance-right:9.0pt;mso-wrap-distance-bottom:0.0pt;" stroked="f">
                      <v:path textboxrect="0,0,0,0"/>
                      <v:imagedata r:id="rId118"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吊梗</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材质45#元钢Ф10</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675640</wp:posOffset>
                      </wp:positionH>
                      <wp:positionV relativeFrom="paragraph">
                        <wp:posOffset>137795</wp:posOffset>
                      </wp:positionV>
                      <wp:extent cx="552450" cy="336550"/>
                      <wp:effectExtent l="0" t="0" r="0" b="6350"/>
                      <wp:wrapNone/>
                      <wp:docPr id="100" name="图片_68"/>
                      <wp:cNvGraphicFramePr/>
                      <a:graphic xmlns:a="http://schemas.openxmlformats.org/drawingml/2006/main">
                        <a:graphicData uri="http://schemas.openxmlformats.org/drawingml/2006/picture">
                          <pic:pic xmlns:pic="http://schemas.openxmlformats.org/drawingml/2006/picture">
                            <pic:nvPicPr>
                              <pic:cNvPr id="97" name="图片_68"/>
                              <pic:cNvPicPr/>
                              <pic:nvPr/>
                            </pic:nvPicPr>
                            <pic:blipFill>
                              <a:blip r:embed="rId119"/>
                              <a:stretch/>
                            </pic:blipFill>
                            <pic:spPr bwMode="auto">
                              <a:xfrm>
                                <a:off x="0" y="0"/>
                                <a:ext cx="552450" cy="336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64384;o:allowoverlap:true;o:allowincell:true;mso-position-horizontal-relative:text;margin-left:53.2pt;mso-position-horizontal:absolute;mso-position-vertical-relative:text;margin-top:10.8pt;mso-position-vertical:absolute;width:43.5pt;height:26.5pt;mso-wrap-distance-left:9.0pt;mso-wrap-distance-top:0.0pt;mso-wrap-distance-right:9.0pt;mso-wrap-distance-bottom:0.0pt;" stroked="f">
                      <v:path textboxrect="0,0,0,0"/>
                      <v:imagedata r:id="rId119"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638810" cy="438150"/>
                      <wp:effectExtent l="0" t="0" r="8890" b="0"/>
                      <wp:wrapNone/>
                      <wp:docPr id="101" name="图片_100"/>
                      <wp:cNvGraphicFramePr/>
                      <a:graphic xmlns:a="http://schemas.openxmlformats.org/drawingml/2006/main">
                        <a:graphicData uri="http://schemas.openxmlformats.org/drawingml/2006/picture">
                          <pic:pic xmlns:pic="http://schemas.openxmlformats.org/drawingml/2006/picture">
                            <pic:nvPicPr>
                              <pic:cNvPr id="98" name="图片_100"/>
                              <pic:cNvPicPr/>
                              <pic:nvPr/>
                            </pic:nvPicPr>
                            <pic:blipFill>
                              <a:blip r:embed="rId120"/>
                              <a:stretch/>
                            </pic:blipFill>
                            <pic:spPr bwMode="auto">
                              <a:xfrm>
                                <a:off x="0" y="0"/>
                                <a:ext cx="638810"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64384;o:allowoverlap:true;o:allowincell:true;mso-position-horizontal-relative:text;margin-left:0.0pt;mso-position-horizontal:absolute;mso-position-vertical-relative:text;margin-top:0.0pt;mso-position-vertical:absolute;width:50.3pt;height:34.5pt;mso-wrap-distance-left:9.0pt;mso-wrap-distance-top:0.0pt;mso-wrap-distance-right:9.0pt;mso-wrap-distance-bottom:0.0pt;" stroked="f">
                      <v:path textboxrect="0,0,0,0"/>
                      <v:imagedata r:id="rId120"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18.17</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镀锌螺丝螺母</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公斤</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材质45#元钢Ф8</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66675</wp:posOffset>
                      </wp:positionH>
                      <wp:positionV relativeFrom="paragraph">
                        <wp:posOffset>92075</wp:posOffset>
                      </wp:positionV>
                      <wp:extent cx="1009650" cy="490220"/>
                      <wp:effectExtent l="0" t="0" r="0" b="5080"/>
                      <wp:wrapNone/>
                      <wp:docPr id="102" name="图片_102"/>
                      <wp:cNvGraphicFramePr/>
                      <a:graphic xmlns:a="http://schemas.openxmlformats.org/drawingml/2006/main">
                        <a:graphicData uri="http://schemas.openxmlformats.org/drawingml/2006/picture">
                          <pic:pic xmlns:pic="http://schemas.openxmlformats.org/drawingml/2006/picture">
                            <pic:nvPicPr>
                              <pic:cNvPr id="99" name="图片_102"/>
                              <pic:cNvPicPr/>
                              <pic:nvPr/>
                            </pic:nvPicPr>
                            <pic:blipFill>
                              <a:blip r:embed="rId121"/>
                              <a:stretch/>
                            </pic:blipFill>
                            <pic:spPr bwMode="auto">
                              <a:xfrm>
                                <a:off x="0" y="0"/>
                                <a:ext cx="1009650"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64384;o:allowoverlap:true;o:allowincell:true;mso-position-horizontal-relative:text;margin-left:5.2pt;mso-position-horizontal:absolute;mso-position-vertical-relative:text;margin-top:7.2pt;mso-position-vertical:absolute;width:79.5pt;height:38.6pt;mso-wrap-distance-left:9.0pt;mso-wrap-distance-top:0.0pt;mso-wrap-distance-right:9.0pt;mso-wrap-distance-bottom:0.0pt;" stroked="f">
                      <v:path textboxrect="0,0,0,0"/>
                      <v:imagedata r:id="rId121"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硅胶密封条</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适配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发泡海棉条</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57150</wp:posOffset>
                      </wp:positionH>
                      <wp:positionV relativeFrom="paragraph">
                        <wp:posOffset>63500</wp:posOffset>
                      </wp:positionV>
                      <wp:extent cx="914400" cy="450850"/>
                      <wp:effectExtent l="0" t="0" r="0" b="6350"/>
                      <wp:wrapNone/>
                      <wp:docPr id="103" name="图片_74"/>
                      <wp:cNvGraphicFramePr/>
                      <a:graphic xmlns:a="http://schemas.openxmlformats.org/drawingml/2006/main">
                        <a:graphicData uri="http://schemas.openxmlformats.org/drawingml/2006/picture">
                          <pic:pic xmlns:pic="http://schemas.openxmlformats.org/drawingml/2006/picture">
                            <pic:nvPicPr>
                              <pic:cNvPr id="100" name="图片_74"/>
                              <pic:cNvPicPr/>
                              <pic:nvPr/>
                            </pic:nvPicPr>
                            <pic:blipFill>
                              <a:blip r:embed="rId122"/>
                              <a:stretch/>
                            </pic:blipFill>
                            <pic:spPr bwMode="auto">
                              <a:xfrm>
                                <a:off x="0" y="0"/>
                                <a:ext cx="914400" cy="450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64384;o:allowoverlap:true;o:allowincell:true;mso-position-horizontal-relative:text;margin-left:4.5pt;mso-position-horizontal:absolute;mso-position-vertical-relative:text;margin-top:5.0pt;mso-position-vertical:absolute;width:72.0pt;height:35.5pt;mso-wrap-distance-left:9.0pt;mso-wrap-distance-top:0.0pt;mso-wrap-distance-right:9.0pt;mso-wrap-distance-bottom:0.0pt;" stroked="f">
                      <v:path textboxrect="0,0,0,0"/>
                      <v:imagedata r:id="rId122" o:title=""/>
                    </v:shape>
                  </w:pict>
                </mc:Fallback>
              </mc:AlternateContent>
            </w:r>
            <w:r>
              <w:rPr>
                <w:rFonts w:hint="eastAsia" w:ascii="宋体" w:hAnsi="宋体" w:eastAsia="宋体" w:cs="宋体"/>
                <w:i w:val="0"/>
                <w:iCs w:val="0"/>
                <w:color w:val="ff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66675</wp:posOffset>
                      </wp:positionH>
                      <wp:positionV relativeFrom="paragraph">
                        <wp:posOffset>15875</wp:posOffset>
                      </wp:positionV>
                      <wp:extent cx="1096010" cy="528320"/>
                      <wp:effectExtent l="0" t="0" r="8890" b="5080"/>
                      <wp:wrapNone/>
                      <wp:docPr id="104" name="图片_103"/>
                      <wp:cNvGraphicFramePr/>
                      <a:graphic xmlns:a="http://schemas.openxmlformats.org/drawingml/2006/main">
                        <a:graphicData uri="http://schemas.openxmlformats.org/drawingml/2006/picture">
                          <pic:pic xmlns:pic="http://schemas.openxmlformats.org/drawingml/2006/picture">
                            <pic:nvPicPr>
                              <pic:cNvPr id="101" name="图片_103"/>
                              <pic:cNvPicPr/>
                              <pic:nvPr/>
                            </pic:nvPicPr>
                            <pic:blipFill>
                              <a:blip r:embed="rId123"/>
                              <a:stretch/>
                            </pic:blipFill>
                            <pic:spPr bwMode="auto">
                              <a:xfrm>
                                <a:off x="0" y="0"/>
                                <a:ext cx="1096010" cy="528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64384;o:allowoverlap:true;o:allowincell:true;mso-position-horizontal-relative:text;margin-left:5.2pt;mso-position-horizontal:absolute;mso-position-vertical-relative:text;margin-top:1.2pt;mso-position-vertical:absolute;width:86.3pt;height:41.6pt;mso-wrap-distance-left:9.0pt;mso-wrap-distance-top:0.0pt;mso-wrap-distance-right:9.0pt;mso-wrap-distance-bottom:0.0pt;" stroked="f">
                      <v:path textboxrect="0,0,0,0"/>
                      <v:imagedata r:id="rId123"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18.19</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风机净化器支架</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15KW风机用</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采用4#槽钢制作，涂层防锈漆</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66675</wp:posOffset>
                      </wp:positionH>
                      <wp:positionV relativeFrom="paragraph">
                        <wp:posOffset>44450</wp:posOffset>
                      </wp:positionV>
                      <wp:extent cx="1266825" cy="575310"/>
                      <wp:effectExtent l="0" t="0" r="9525" b="15240"/>
                      <wp:wrapNone/>
                      <wp:docPr id="105" name="图片_106"/>
                      <wp:cNvGraphicFramePr/>
                      <a:graphic xmlns:a="http://schemas.openxmlformats.org/drawingml/2006/main">
                        <a:graphicData uri="http://schemas.openxmlformats.org/drawingml/2006/picture">
                          <pic:pic xmlns:pic="http://schemas.openxmlformats.org/drawingml/2006/picture">
                            <pic:nvPicPr>
                              <pic:cNvPr id="102" name="图片_106"/>
                              <pic:cNvPicPr/>
                              <pic:nvPr/>
                            </pic:nvPicPr>
                            <pic:blipFill>
                              <a:blip r:embed="rId124"/>
                              <a:stretch/>
                            </pic:blipFill>
                            <pic:spPr bwMode="auto">
                              <a:xfrm>
                                <a:off x="0" y="0"/>
                                <a:ext cx="1266825" cy="575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64384;o:allowoverlap:true;o:allowincell:true;mso-position-horizontal-relative:text;margin-left:5.2pt;mso-position-horizontal:absolute;mso-position-vertical-relative:text;margin-top:3.5pt;mso-position-vertical:absolute;width:99.8pt;height:45.3pt;mso-wrap-distance-left:9.0pt;mso-wrap-distance-top:0.0pt;mso-wrap-distance-right:9.0pt;mso-wrap-distance-bottom:0.0pt;" stroked="f">
                      <v:path textboxrect="0,0,0,0"/>
                      <v:imagedata r:id="rId124"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123825</wp:posOffset>
                      </wp:positionH>
                      <wp:positionV relativeFrom="paragraph">
                        <wp:posOffset>44450</wp:posOffset>
                      </wp:positionV>
                      <wp:extent cx="914400" cy="412750"/>
                      <wp:effectExtent l="0" t="0" r="0" b="6350"/>
                      <wp:wrapNone/>
                      <wp:docPr id="106" name="图片_76"/>
                      <wp:cNvGraphicFramePr/>
                      <a:graphic xmlns:a="http://schemas.openxmlformats.org/drawingml/2006/main">
                        <a:graphicData uri="http://schemas.openxmlformats.org/drawingml/2006/picture">
                          <pic:pic xmlns:pic="http://schemas.openxmlformats.org/drawingml/2006/picture">
                            <pic:nvPicPr>
                              <pic:cNvPr id="103" name="图片_76"/>
                              <pic:cNvPicPr/>
                              <pic:nvPr/>
                            </pic:nvPicPr>
                            <pic:blipFill>
                              <a:blip r:embed="rId125"/>
                              <a:stretch/>
                            </pic:blipFill>
                            <pic:spPr bwMode="auto">
                              <a:xfrm>
                                <a:off x="0" y="0"/>
                                <a:ext cx="914400"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64384;o:allowoverlap:true;o:allowincell:true;mso-position-horizontal-relative:text;margin-left:9.8pt;mso-position-horizontal:absolute;mso-position-vertical-relative:text;margin-top:3.5pt;mso-position-vertical:absolute;width:72.0pt;height:32.5pt;mso-wrap-distance-left:9.0pt;mso-wrap-distance-top:0.0pt;mso-wrap-distance-right:9.0pt;mso-wrap-distance-bottom:0.0pt;" stroked="f">
                      <v:path textboxrect="0,0,0,0"/>
                      <v:imagedata r:id="rId125"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18.20</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等线"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风机启动保护器</w:t>
            </w: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适配15KW风机</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适配15KW风机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414655</wp:posOffset>
                      </wp:positionH>
                      <wp:positionV relativeFrom="paragraph">
                        <wp:posOffset>57785</wp:posOffset>
                      </wp:positionV>
                      <wp:extent cx="530860" cy="832485"/>
                      <wp:effectExtent l="0" t="0" r="2540" b="5715"/>
                      <wp:wrapNone/>
                      <wp:docPr id="107" name="图片_8"/>
                      <wp:cNvGraphicFramePr/>
                      <a:graphic xmlns:a="http://schemas.openxmlformats.org/drawingml/2006/main">
                        <a:graphicData uri="http://schemas.openxmlformats.org/drawingml/2006/picture">
                          <pic:pic xmlns:pic="http://schemas.openxmlformats.org/drawingml/2006/picture">
                            <pic:nvPicPr>
                              <pic:cNvPr id="104" name="图片_8"/>
                              <pic:cNvPicPr/>
                              <pic:nvPr/>
                            </pic:nvPicPr>
                            <pic:blipFill>
                              <a:blip r:embed="rId126"/>
                              <a:stretch/>
                            </pic:blipFill>
                            <pic:spPr bwMode="auto">
                              <a:xfrm>
                                <a:off x="0" y="0"/>
                                <a:ext cx="530860" cy="832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64384;o:allowoverlap:true;o:allowincell:true;mso-position-horizontal-relative:text;margin-left:32.6pt;mso-position-horizontal:absolute;mso-position-vertical-relative:text;margin-top:4.5pt;mso-position-vertical:absolute;width:41.8pt;height:65.5pt;mso-wrap-distance-left:9.0pt;mso-wrap-distance-top:0.0pt;mso-wrap-distance-right:9.0pt;mso-wrap-distance-bottom:0.0pt;" stroked="f">
                      <v:path textboxrect="0,0,0,0"/>
                      <v:imagedata r:id="rId126"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18.21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风机支架</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7.5KW风机用</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采用4#槽钢制作，涂层防锈漆</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66675</wp:posOffset>
                      </wp:positionH>
                      <wp:positionV relativeFrom="paragraph">
                        <wp:posOffset>73025</wp:posOffset>
                      </wp:positionV>
                      <wp:extent cx="1266825" cy="394335"/>
                      <wp:effectExtent l="0" t="0" r="9525" b="5715"/>
                      <wp:wrapNone/>
                      <wp:docPr id="108" name="图片_108"/>
                      <wp:cNvGraphicFramePr/>
                      <a:graphic xmlns:a="http://schemas.openxmlformats.org/drawingml/2006/main">
                        <a:graphicData uri="http://schemas.openxmlformats.org/drawingml/2006/picture">
                          <pic:pic xmlns:pic="http://schemas.openxmlformats.org/drawingml/2006/picture">
                            <pic:nvPicPr>
                              <pic:cNvPr id="105" name="图片_108"/>
                              <pic:cNvPicPr/>
                              <pic:nvPr/>
                            </pic:nvPicPr>
                            <pic:blipFill>
                              <a:blip r:embed="rId127"/>
                              <a:stretch/>
                            </pic:blipFill>
                            <pic:spPr bwMode="auto">
                              <a:xfrm>
                                <a:off x="0" y="0"/>
                                <a:ext cx="1266825" cy="394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64384;o:allowoverlap:true;o:allowincell:true;mso-position-horizontal-relative:text;margin-left:5.2pt;mso-position-horizontal:absolute;mso-position-vertical-relative:text;margin-top:5.8pt;mso-position-vertical:absolute;width:99.8pt;height:31.0pt;mso-wrap-distance-left:9.0pt;mso-wrap-distance-top:0.0pt;mso-wrap-distance-right:9.0pt;mso-wrap-distance-bottom:0.0pt;" stroked="f">
                      <v:path textboxrect="0,0,0,0"/>
                      <v:imagedata r:id="rId127" o:title=""/>
                    </v:shape>
                  </w:pict>
                </mc:Fallback>
              </mc:AlternateConten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18.22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等线"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风机启动保护器</w:t>
            </w: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适配7.5KW风机</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适配7.5KW风机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367030</wp:posOffset>
                      </wp:positionH>
                      <wp:positionV relativeFrom="paragraph">
                        <wp:posOffset>27305</wp:posOffset>
                      </wp:positionV>
                      <wp:extent cx="530860" cy="832485"/>
                      <wp:effectExtent l="0" t="0" r="2540" b="5715"/>
                      <wp:wrapNone/>
                      <wp:docPr id="109" name="图片_10"/>
                      <wp:cNvGraphicFramePr/>
                      <a:graphic xmlns:a="http://schemas.openxmlformats.org/drawingml/2006/main">
                        <a:graphicData uri="http://schemas.openxmlformats.org/drawingml/2006/picture">
                          <pic:pic xmlns:pic="http://schemas.openxmlformats.org/drawingml/2006/picture">
                            <pic:nvPicPr>
                              <pic:cNvPr id="106" name="图片_10"/>
                              <pic:cNvPicPr/>
                              <pic:nvPr/>
                            </pic:nvPicPr>
                            <pic:blipFill>
                              <a:blip r:embed="rId128"/>
                              <a:stretch/>
                            </pic:blipFill>
                            <pic:spPr bwMode="auto">
                              <a:xfrm>
                                <a:off x="0" y="0"/>
                                <a:ext cx="530860" cy="832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64384;o:allowoverlap:true;o:allowincell:true;mso-position-horizontal-relative:text;margin-left:28.9pt;mso-position-horizontal:absolute;mso-position-vertical-relative:text;margin-top:2.1pt;mso-position-vertical:absolute;width:41.8pt;height:65.5pt;mso-wrap-distance-left:9.0pt;mso-wrap-distance-top:0.0pt;mso-wrap-distance-right:9.0pt;mso-wrap-distance-bottom:0.0pt;" stroked="f">
                      <v:path textboxrect="0,0,0,0"/>
                      <v:imagedata r:id="rId128" o:title=""/>
                    </v:shape>
                  </w:pict>
                </mc:Fallback>
              </mc:AlternateContent>
            </w:r>
            <w:r/>
          </w:p>
        </w:tc>
      </w:tr>
    </w:tbl>
    <w:p>
      <w:pPr>
        <w:rPr>
          <w:rFonts w:ascii="Arial"/>
          <w:highlight w:val="none"/>
        </w:rPr>
      </w:pPr>
      <w:r>
        <w:rPr>
          <w:rFonts w:ascii="Arial"/>
          <w:highlight w:val="none"/>
        </w:rPr>
      </w:r>
      <w:r/>
    </w:p>
    <w:p>
      <w:pPr>
        <w:contextualSpacing/>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contextualSpacing/>
        <w:ind w:firstLine="482"/>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zh-CN" w:eastAsia="zh-CN" w:bidi="ar-SA"/>
        </w:rPr>
        <w:t xml:space="preserve">1、需求中涉及量化指标区间范围的，首个数字为该项最低标准，须完全满足，未满足的视为负偏离。</w:t>
      </w:r>
      <w:r/>
    </w:p>
    <w:p>
      <w:pPr>
        <w:pStyle w:val="1199"/>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zh-CN" w:eastAsia="zh-CN" w:bidi="ar-SA"/>
        </w:rPr>
      </w:pPr>
      <w:r>
        <w:rPr>
          <w:rFonts w:hint="eastAsia" w:cs="宋体"/>
          <w:b/>
          <w:bCs/>
          <w:sz w:val="24"/>
          <w:szCs w:val="24"/>
          <w:highlight w:val="none"/>
          <w:lang w:val="en-US" w:eastAsia="zh-CN" w:bidi="ar-SA"/>
        </w:rPr>
        <w:t xml:space="preserve">2、</w:t>
      </w:r>
      <w:r>
        <w:rPr>
          <w:rFonts w:hint="eastAsia" w:ascii="宋体" w:hAnsi="宋体" w:eastAsia="宋体" w:cs="宋体"/>
          <w:b/>
          <w:bCs/>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0"/>
        <w:keepLines w:val="0"/>
        <w:keepNext w:val="0"/>
        <w:pageBreakBefore w:val="0"/>
        <w:widowControl w:val="off"/>
        <w:rPr>
          <w:rFonts w:ascii="Arial" w:hAnsi="Arial" w:eastAsia="Arial" w:cs="Arial"/>
          <w:szCs w:val="21"/>
          <w:highlight w:val="none"/>
        </w:rPr>
        <w:sectPr>
          <w:footerReference w:type="default" r:id="rId20"/>
          <w:footnotePr/>
          <w:endnotePr/>
          <w:type w:val="nextPage"/>
          <w:pgSz w:w="16837" w:h="11905" w:orient="landscape"/>
          <w:pgMar w:top="391" w:right="1164" w:bottom="531" w:left="1075" w:header="0" w:footer="345" w:gutter="0"/>
          <w:cols w:num="1" w:sep="0" w:space="720" w:equalWidth="1"/>
          <w:docGrid w:linePitch="360"/>
        </w:sectPr>
      </w:pPr>
      <w:r>
        <w:rPr>
          <w:rFonts w:hint="eastAsia" w:cs="宋体"/>
          <w:b/>
          <w:bCs/>
          <w:sz w:val="24"/>
          <w:szCs w:val="24"/>
          <w:highlight w:val="none"/>
          <w:lang w:val="en-US" w:eastAsia="zh-CN" w:bidi="ar-SA"/>
        </w:rPr>
        <w:t xml:space="preserve">3、</w:t>
      </w:r>
      <w:r>
        <w:rPr>
          <w:rFonts w:hint="eastAsia" w:ascii="宋体" w:hAnsi="宋体" w:eastAsia="宋体" w:cs="宋体"/>
          <w:b/>
          <w:bCs/>
          <w:sz w:val="24"/>
          <w:szCs w:val="24"/>
          <w:highlight w:val="none"/>
          <w:lang w:val="zh-CN" w:eastAsia="zh-CN" w:bidi="ar-SA"/>
        </w:rPr>
        <w:t xml:space="preserve">本项目</w:t>
      </w:r>
      <w:r>
        <w:rPr>
          <w:rFonts w:hint="eastAsia" w:cs="宋体"/>
          <w:b/>
          <w:bCs/>
          <w:sz w:val="24"/>
          <w:szCs w:val="24"/>
          <w:highlight w:val="none"/>
          <w:lang w:val="en-US" w:eastAsia="zh-CN" w:bidi="ar-SA"/>
        </w:rPr>
        <w:t xml:space="preserve">需要收</w:t>
      </w:r>
      <w:r>
        <w:rPr>
          <w:rFonts w:hint="eastAsia" w:ascii="宋体" w:hAnsi="宋体" w:eastAsia="宋体" w:cs="宋体"/>
          <w:b/>
          <w:bCs/>
          <w:sz w:val="24"/>
          <w:szCs w:val="24"/>
          <w:highlight w:val="none"/>
          <w:lang w:val="zh-CN" w:eastAsia="zh-CN" w:bidi="ar-SA"/>
        </w:rPr>
        <w:t xml:space="preserve">取履约保证金</w:t>
      </w:r>
      <w:r>
        <w:rPr>
          <w:rFonts w:hint="eastAsia" w:cs="宋体"/>
          <w:b/>
          <w:bCs/>
          <w:sz w:val="24"/>
          <w:szCs w:val="24"/>
          <w:highlight w:val="none"/>
          <w:lang w:val="zh-CN" w:eastAsia="zh-CN" w:bidi="ar-SA"/>
        </w:rPr>
        <w:t xml:space="preserve">，</w:t>
      </w:r>
      <w:r>
        <w:rPr>
          <w:rFonts w:hint="eastAsia" w:cs="宋体"/>
          <w:b/>
          <w:bCs/>
          <w:sz w:val="24"/>
          <w:szCs w:val="24"/>
          <w:highlight w:val="none"/>
          <w:lang w:val="en-US" w:eastAsia="zh-CN" w:bidi="ar-SA"/>
        </w:rPr>
        <w:t xml:space="preserve">详见合同。</w:t>
      </w:r>
      <w:r/>
    </w:p>
    <w:p>
      <w:pPr>
        <w:spacing w:line="360" w:lineRule="auto"/>
        <w:tabs>
          <w:tab w:val="left" w:pos="840" w:leader="none"/>
          <w:tab w:val="left" w:pos="1155"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jc w:val="left"/>
        <w:spacing w:line="360" w:lineRule="auto"/>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附件1</w:t>
      </w:r>
      <w:r/>
    </w:p>
    <w:p>
      <w:pPr>
        <w:jc w:val="center"/>
        <w:spacing w:line="360" w:lineRule="auto"/>
        <w:rPr>
          <w:rFonts w:ascii="宋体" w:hAnsi="宋体" w:eastAsia="宋体" w:cs="宋体"/>
          <w:b/>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商品包装政府采购需求标准( 试行)</w:t>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2"/>
        <w:spacing w:line="360" w:lineRule="auto"/>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一、适用范围</w:t>
      </w:r>
      <w:r/>
    </w:p>
    <w:p>
      <w:pPr>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本标准规定了商品使用的塑料、纸质、木质等包装材料的环保要求。</w:t>
      </w:r>
      <w:r/>
    </w:p>
    <w:p>
      <w:pPr>
        <w:ind w:firstLine="482"/>
        <w:spacing w:line="360" w:lineRule="auto"/>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二、商品包装环保要求</w:t>
      </w:r>
      <w:r/>
    </w:p>
    <w:p>
      <w:pPr>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1.商品包装层数不得超过3 层，空隙率不大于 40%；</w:t>
      </w:r>
      <w:r/>
    </w:p>
    <w:p>
      <w:pPr>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2.商品包装尽可能使用单一材质的包装材料，如因功能需求必需使用不同材质，不同材质间应便于分离；</w:t>
      </w:r>
      <w:r/>
    </w:p>
    <w:p>
      <w:pPr>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3.商品包装中铅、汞、镐、六价铬的总含量应不大于100mg/kg；</w:t>
      </w:r>
      <w:r/>
    </w:p>
    <w:p>
      <w:pPr>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4.商品包装印刷使用的油墨中挥发性有机化合物(VOCs)含量应不大于 5g(以重量计)；</w:t>
      </w:r>
      <w:r/>
    </w:p>
    <w:p>
      <w:pPr>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5.塑料材质商品包装上呈现的印刷颜色不得超过 6色；</w:t>
      </w:r>
      <w:r/>
    </w:p>
    <w:p>
      <w:pPr>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6.纸质商品包装应使用 75%以上的可再生纤维原料生产；</w:t>
      </w:r>
      <w:r/>
    </w:p>
    <w:p>
      <w:pPr>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7.木质商品包装的原料应来源于可持续性森林。</w:t>
      </w:r>
      <w:r/>
    </w:p>
    <w:p>
      <w:pPr>
        <w:ind w:firstLine="482"/>
        <w:spacing w:line="360" w:lineRule="auto"/>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三、检测方法</w:t>
      </w:r>
      <w:r/>
    </w:p>
    <w:p>
      <w:pPr>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1.商品包装中重金属(铅、汞、铜、六价铬)总量的检测按照 GB/T 10004-2008《包装用塑料复合膜、袋干法复合挤出复合》规定的方法进行。</w:t>
      </w:r>
      <w:r/>
    </w:p>
    <w:p>
      <w:pPr>
        <w:ind w:firstLine="480"/>
        <w:spacing w:line="36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2.商品包装印刷使用的油墨中挥发性有机化合物(VOCs)的检测按照GB/T 23986-2009《色漆和清漆挥发性有机化合物(VOC)含量的测定 气相色谱法》规定的方法进行。</w:t>
      </w:r>
      <w:r/>
    </w:p>
    <w:p>
      <w:pPr>
        <w:pStyle w:val="1278"/>
        <w:rPr>
          <w:rFonts w:ascii="宋体" w:hAnsi="宋体" w:cs="宋体"/>
          <w:bCs/>
          <w:color w:val="000000"/>
          <w:sz w:val="24"/>
          <w:szCs w:val="24"/>
          <w:highlight w:val="none"/>
          <w:lang w:val="zh-CN"/>
        </w:rPr>
      </w:pPr>
      <w:r>
        <w:rPr>
          <w:rFonts w:ascii="宋体" w:hAnsi="宋体" w:cs="宋体"/>
          <w:bCs/>
          <w:color w:val="000000"/>
          <w:sz w:val="24"/>
          <w:szCs w:val="24"/>
          <w:highlight w:val="none"/>
          <w:lang w:val="zh-CN"/>
        </w:rPr>
      </w:r>
      <w:r/>
    </w:p>
    <w:p>
      <w:pPr>
        <w:rPr>
          <w:rFonts w:ascii="宋体" w:hAnsi="宋体" w:eastAsia="宋体" w:cs="宋体"/>
          <w:bCs/>
          <w:color w:val="000000"/>
          <w:sz w:val="24"/>
          <w:szCs w:val="24"/>
          <w:highlight w:val="none"/>
          <w:lang w:val="zh-CN"/>
        </w:rPr>
      </w:pPr>
      <w:r>
        <w:rPr>
          <w:rFonts w:ascii="宋体" w:hAnsi="宋体" w:eastAsia="宋体" w:cs="宋体"/>
          <w:bCs/>
          <w:color w:val="000000"/>
          <w:sz w:val="24"/>
          <w:szCs w:val="24"/>
          <w:highlight w:val="none"/>
          <w:lang w:val="zh-CN"/>
        </w:rPr>
      </w:r>
      <w:r/>
    </w:p>
    <w:p>
      <w:pPr>
        <w:pStyle w:val="1278"/>
        <w:rPr>
          <w:rFonts w:ascii="宋体" w:hAnsi="宋体" w:cs="宋体"/>
          <w:bCs/>
          <w:color w:val="000000"/>
          <w:sz w:val="24"/>
          <w:szCs w:val="24"/>
          <w:highlight w:val="none"/>
          <w:lang w:val="zh-CN"/>
        </w:rPr>
      </w:pPr>
      <w:r>
        <w:rPr>
          <w:rFonts w:ascii="宋体" w:hAnsi="宋体" w:cs="宋体"/>
          <w:bCs/>
          <w:color w:val="000000"/>
          <w:sz w:val="24"/>
          <w:szCs w:val="24"/>
          <w:highlight w:val="none"/>
          <w:lang w:val="zh-CN"/>
        </w:rPr>
      </w:r>
      <w:r/>
    </w:p>
    <w:p>
      <w:pPr>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jc w:val="left"/>
        <w:spacing w:line="360" w:lineRule="auto"/>
        <w:rPr>
          <w:rFonts w:ascii="宋体" w:hAnsi="宋体" w:eastAsia="宋体" w:cs="宋体"/>
          <w:b/>
          <w:bCs/>
          <w:color w:val="000000"/>
          <w:sz w:val="24"/>
          <w:szCs w:val="24"/>
          <w:highlight w:val="none"/>
          <w:lang w:val="zh-CN"/>
        </w:rPr>
      </w:pPr>
      <w:r>
        <w:rPr>
          <w:rFonts w:ascii="宋体" w:hAnsi="宋体" w:eastAsia="宋体" w:cs="宋体"/>
          <w:b/>
          <w:bCs/>
          <w:color w:val="000000"/>
          <w:sz w:val="24"/>
          <w:szCs w:val="24"/>
          <w:highlight w:val="none"/>
          <w:lang w:val="zh-CN"/>
        </w:rPr>
      </w:r>
      <w:r/>
    </w:p>
    <w:p>
      <w:pPr>
        <w:pStyle w:val="1248"/>
        <w:ind w:firstLine="482"/>
        <w:rPr>
          <w:rFonts w:ascii="宋体" w:hAnsi="宋体" w:eastAsia="宋体" w:cs="宋体"/>
          <w:b/>
          <w:bCs/>
          <w:color w:val="000000"/>
          <w:sz w:val="24"/>
          <w:szCs w:val="24"/>
          <w:highlight w:val="none"/>
          <w:lang w:val="zh-CN"/>
        </w:rPr>
      </w:pPr>
      <w:r>
        <w:rPr>
          <w:rFonts w:ascii="宋体" w:hAnsi="宋体" w:eastAsia="宋体" w:cs="宋体"/>
          <w:b/>
          <w:bCs/>
          <w:color w:val="000000"/>
          <w:sz w:val="24"/>
          <w:szCs w:val="24"/>
          <w:highlight w:val="none"/>
          <w:lang w:val="zh-CN"/>
        </w:rPr>
      </w:r>
      <w:r/>
    </w:p>
    <w:p>
      <w:pPr>
        <w:pStyle w:val="1248"/>
        <w:ind w:left="0" w:firstLine="0"/>
        <w:rPr>
          <w:rFonts w:ascii="宋体" w:hAnsi="宋体" w:eastAsia="宋体" w:cs="宋体"/>
          <w:b/>
          <w:bCs/>
          <w:color w:val="000000"/>
          <w:sz w:val="24"/>
          <w:szCs w:val="24"/>
          <w:highlight w:val="none"/>
          <w:lang w:val="zh-CN"/>
        </w:rPr>
      </w:pPr>
      <w:r>
        <w:rPr>
          <w:rFonts w:ascii="宋体" w:hAnsi="宋体" w:eastAsia="宋体" w:cs="宋体"/>
          <w:b/>
          <w:bCs/>
          <w:color w:val="000000"/>
          <w:sz w:val="24"/>
          <w:szCs w:val="24"/>
          <w:highlight w:val="none"/>
          <w:lang w:val="zh-CN"/>
        </w:rPr>
      </w:r>
      <w:r/>
    </w:p>
    <w:p>
      <w:pPr>
        <w:pStyle w:val="1248"/>
        <w:ind w:left="0" w:firstLine="0"/>
        <w:rPr>
          <w:rFonts w:ascii="宋体" w:hAnsi="宋体" w:eastAsia="宋体" w:cs="宋体"/>
          <w:b/>
          <w:bCs/>
          <w:color w:val="000000"/>
          <w:sz w:val="24"/>
          <w:szCs w:val="24"/>
          <w:highlight w:val="none"/>
          <w:lang w:val="zh-CN"/>
        </w:rPr>
      </w:pPr>
      <w:r>
        <w:rPr>
          <w:rFonts w:ascii="宋体" w:hAnsi="宋体" w:eastAsia="宋体" w:cs="宋体"/>
          <w:b/>
          <w:bCs/>
          <w:color w:val="000000"/>
          <w:sz w:val="24"/>
          <w:szCs w:val="24"/>
          <w:highlight w:val="none"/>
          <w:lang w:val="zh-CN"/>
        </w:rPr>
      </w:r>
      <w:r/>
    </w:p>
    <w:p>
      <w:pPr>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附件2</w:t>
      </w:r>
      <w:r/>
    </w:p>
    <w:p>
      <w:pPr>
        <w:jc w:val="center"/>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快递包装政府采购需求标准( 试行 )</w:t>
      </w:r>
      <w:r/>
    </w:p>
    <w:p>
      <w:pPr>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一、适用范围</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本标准中的快递包装主要指快递封装材料，包括封套、胶带、面单、包装袋/箱、填充物、集装袋、周转箱等。</w:t>
      </w:r>
      <w:r/>
    </w:p>
    <w:p>
      <w:pPr>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二、快递包装环保要求</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1.快递包装中重金属 (铅、汞、锡、六价铬) 总量应不大于100mg/kg；</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2.快递包装印刷使用的油墨中不应添加邻苯二甲酸醋，其挥发性有机化合物(VOCs)含量应不大于5g(以重量计)；</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3.快递包装中使用纸基材的包装材料,纸基材中的有机氯的含量应不大于 150 mg/kg；</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6.快递中使用的充气类填充物不得使用聚氯乙烯作为原料，且原料为单一材质制成，生物分解率大于 60%；</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7.快递中使用的集装袋应为单一材质制成，其重复使用次数应不小于80 次；</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8.快递中应使用幅宽不大于45mm 的生物降解胶带；</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9.快递包装中不得使用溶剂型胶粘剂；</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10.快递应使用电子面单；</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11.直接使用商品包装作为快递包装的商品，其商品包装满足《商品包装政府采购需求标准（试行）》即可；</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12.快递包装产品质量和封装方式应符合相关国家或行业标准技术指标要求。</w:t>
      </w:r>
      <w:r/>
    </w:p>
    <w:p>
      <w:pPr>
        <w:ind w:firstLine="482"/>
        <w:spacing w:line="360" w:lineRule="auto"/>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三、检测方法</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1.快递包装中重金属（铅、汞、镉、六价铬）总量的检测按照 GB/T 10004-2008《包装用塑料复合膜、袋干法复合、挤出复合》规定的方法进行。</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2.快递包装印刷使用的油墨中挥发性有机化合物(VOCs)的检测按照 GB/T 23986-2009《色漆和清漆 挥发性有机化合物(VOC)含量的测定 气相色谱法》规定的方法进行。</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3.快递包装所使用的塑料包装的生物降解率的检测按照 GB/T 20197-2006《降解塑料的定义、分类、标识和降解性能要求》规定的方法进行。</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4.快递包装使用纸基材的包装材料中有机氯的检测按照 GB/T 22904-2008《纸浆、纸和纸板总氯和有机氯的检定》规定的方法进行。</w:t>
      </w:r>
      <w:r/>
    </w:p>
    <w:p>
      <w:pPr>
        <w:ind w:firstLine="480"/>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5.快递包装中使用的生物降解胶带的生物降解率的检测按照 GB/T19277.1《受控堆肥条件下材料最终需氧生物分解能力的测定采用测定释放的二氧化碳的方法 第 1 部分：通用方法》规定的方法进行。</w:t>
      </w:r>
      <w:r/>
    </w:p>
    <w:p>
      <w:pPr>
        <w:jc w:val="left"/>
        <w:rPr>
          <w:rFonts w:ascii="宋体" w:hAnsi="Courier New" w:eastAsia="宋体"/>
          <w:b/>
          <w:bCs/>
          <w:color w:val="000000"/>
          <w:sz w:val="36"/>
          <w:szCs w:val="36"/>
          <w:highlight w:val="none"/>
        </w:rPr>
      </w:pPr>
      <w:r>
        <w:rPr>
          <w:rFonts w:ascii="宋体" w:hAnsi="Courier New" w:eastAsia="宋体"/>
          <w:b/>
          <w:bCs/>
          <w:color w:val="000000"/>
          <w:sz w:val="36"/>
          <w:szCs w:val="36"/>
          <w:highlight w:val="none"/>
        </w:rPr>
      </w:r>
      <w:r/>
    </w:p>
    <w:p>
      <w:pPr>
        <w:ind w:firstLine="480"/>
        <w:spacing w:line="360" w:lineRule="auto"/>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rPr>
          <w:rFonts w:ascii="宋体" w:hAnsi="宋体" w:eastAsia="宋体"/>
          <w:sz w:val="24"/>
          <w:szCs w:val="24"/>
          <w:highlight w:val="none"/>
        </w:rPr>
        <w:sectPr>
          <w:headerReference w:type="default" r:id="rId11"/>
          <w:footerReference w:type="default" r:id="rId21"/>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sz w:val="24"/>
          <w:szCs w:val="24"/>
          <w:highlight w:val="none"/>
        </w:rPr>
      </w:r>
      <w:r/>
    </w:p>
    <w:p>
      <w:pPr>
        <w:rPr>
          <w:rFonts w:ascii="宋体" w:hAnsi="宋体" w:eastAsia="宋体" w:cs="宋体"/>
          <w:color w:val="000000"/>
          <w:sz w:val="24"/>
          <w:szCs w:val="24"/>
          <w:highlight w:val="none"/>
          <w:lang w:val="zh-CN"/>
        </w:rPr>
      </w:pPr>
      <w:r>
        <w:rPr>
          <w:rFonts w:hint="eastAsia" w:ascii="宋体" w:hAnsi="Courier New" w:eastAsia="宋体"/>
          <w:b/>
          <w:bCs/>
          <w:color w:val="000000"/>
          <w:sz w:val="36"/>
          <w:szCs w:val="36"/>
          <w:highlight w:val="none"/>
        </w:rPr>
        <w:t xml:space="preserve"> </w:t>
      </w:r>
      <w:bookmarkStart w:id="23" w:name="_Toc3995"/>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ind w:firstLine="480"/>
        <w:spacing w:line="360" w:lineRule="auto"/>
        <w:rPr>
          <w:rFonts w:ascii="宋体" w:hAnsi="宋体" w:eastAsia="宋体" w:cs="宋体"/>
          <w:color w:val="000000"/>
          <w:sz w:val="24"/>
          <w:szCs w:val="24"/>
          <w:highlight w:val="none"/>
          <w:lang w:val="zh-CN"/>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cs="宋体"/>
          <w:color w:val="000000"/>
          <w:sz w:val="24"/>
          <w:szCs w:val="24"/>
          <w:highlight w:val="none"/>
          <w:lang w:val="zh-CN"/>
        </w:rPr>
      </w:r>
      <w:r/>
    </w:p>
    <w:p>
      <w:pPr>
        <w:pStyle w:val="1187"/>
        <w:rPr>
          <w:rFonts w:eastAsiaTheme="minorEastAsia"/>
          <w:highlight w:val="none"/>
          <w:lang w:val="zh-CN"/>
        </w:rPr>
      </w:pPr>
      <w:r>
        <w:rPr>
          <w:rFonts w:eastAsiaTheme="minorEastAsia"/>
          <w:highlight w:val="none"/>
          <w:lang w:val="zh-CN"/>
        </w:rPr>
      </w:r>
      <w:r/>
    </w:p>
    <w:p>
      <w:pPr>
        <w:pStyle w:val="1199"/>
        <w:jc w:val="center"/>
        <w:rPr>
          <w:b/>
          <w:bCs/>
          <w:spacing w:val="-20"/>
          <w:sz w:val="48"/>
          <w:szCs w:val="48"/>
          <w:highlight w:val="none"/>
          <w:lang w:eastAsia="zh-CN"/>
        </w:rPr>
      </w:pPr>
      <w:r>
        <w:rPr>
          <w:rFonts w:hint="eastAsia"/>
          <w:b/>
          <w:bCs/>
          <w:spacing w:val="-20"/>
          <w:sz w:val="48"/>
          <w:szCs w:val="48"/>
          <w:highlight w:val="none"/>
          <w:lang w:eastAsia="zh-CN"/>
        </w:rPr>
        <w:t xml:space="preserve">四、政府采购货物买卖合同</w:t>
      </w:r>
      <w:r/>
    </w:p>
    <w:p>
      <w:pPr>
        <w:pStyle w:val="1199"/>
        <w:jc w:val="center"/>
        <w:rPr>
          <w:b/>
          <w:bCs/>
          <w:spacing w:val="-20"/>
          <w:sz w:val="48"/>
          <w:szCs w:val="48"/>
          <w:highlight w:val="none"/>
          <w:lang w:eastAsia="zh-CN"/>
        </w:rPr>
      </w:pPr>
      <w:r>
        <w:rPr>
          <w:rFonts w:hint="eastAsia"/>
          <w:b/>
          <w:bCs/>
          <w:spacing w:val="-20"/>
          <w:sz w:val="48"/>
          <w:szCs w:val="48"/>
          <w:highlight w:val="none"/>
          <w:lang w:eastAsia="zh-CN"/>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23"/>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hint="eastAsia" w:eastAsia="黑体"/>
          <w:sz w:val="44"/>
          <w:szCs w:val="44"/>
          <w:highlight w:val="none"/>
          <w:lang w:eastAsia="zh-CN"/>
        </w:rPr>
      </w:pPr>
      <w:r>
        <w:rPr>
          <w:rFonts w:hint="eastAsia" w:eastAsia="黑体"/>
          <w:sz w:val="44"/>
          <w:szCs w:val="44"/>
          <w:highlight w:val="none"/>
          <w:lang w:eastAsia="zh-CN"/>
        </w:rPr>
        <w:t xml:space="preserve">使</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用</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说</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明</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eastAsia="黑体"/>
          <w:sz w:val="44"/>
          <w:szCs w:val="44"/>
          <w:highlight w:val="none"/>
        </w:rPr>
      </w:r>
      <w:r/>
    </w:p>
    <w:p>
      <w:pPr>
        <w:pStyle w:val="1185"/>
        <w:jc w:val="center"/>
        <w:spacing w:line="400" w:lineRule="exact"/>
        <w:rPr>
          <w:rFonts w:ascii="黑体" w:hAnsi="华文中宋" w:eastAsia="黑体"/>
          <w:color w:val="000000" w:themeColor="text1"/>
          <w:sz w:val="28"/>
          <w:szCs w:val="28"/>
          <w14:textFill>
            <w14:solidFill>
              <w14:schemeClr w14:val="tx1"/>
            </w14:solidFill>
          </w14:textFill>
        </w:rPr>
      </w:pPr>
      <w:r/>
      <w:bookmarkStart w:id="24" w:name="_Toc22209"/>
      <w:r/>
      <w:bookmarkStart w:id="25" w:name="_Toc20313"/>
      <w:r>
        <w:rPr>
          <w:rFonts w:hint="eastAsia" w:ascii="黑体" w:hAnsi="黑体" w:eastAsia="黑体"/>
          <w:color w:val="000000" w:themeColor="text1"/>
          <w:sz w:val="28"/>
          <w:szCs w:val="28"/>
          <w14:textFill>
            <w14:solidFill>
              <w14:schemeClr w14:val="tx1"/>
            </w14:solidFill>
          </w14:textFill>
        </w:rPr>
        <w:t xml:space="preserve">第一节 </w:t>
      </w:r>
      <w:r>
        <w:rPr>
          <w:rFonts w:hint="eastAsia" w:ascii="黑体" w:hAnsi="华文中宋" w:eastAsia="黑体"/>
          <w:color w:val="000000" w:themeColor="text1"/>
          <w:sz w:val="28"/>
          <w:szCs w:val="28"/>
          <w14:textFill>
            <w14:solidFill>
              <w14:schemeClr w14:val="tx1"/>
            </w14:solidFill>
          </w14:textFill>
        </w:rPr>
        <w:t xml:space="preserve">政府采购合同协议书</w:t>
      </w:r>
      <w:bookmarkEnd w:id="24"/>
      <w:r/>
      <w:r/>
    </w:p>
    <w:p>
      <w:pPr>
        <w:pStyle w:val="1185"/>
        <w:jc w:val="center"/>
        <w:spacing w:line="400" w:lineRule="exact"/>
        <w:rPr>
          <w:rFonts w:ascii="黑体" w:hAnsi="华文中宋" w:eastAsia="黑体"/>
          <w:color w:val="000000" w:themeColor="text1"/>
          <w:sz w:val="28"/>
          <w:szCs w:val="28"/>
          <w14:textFill>
            <w14:solidFill>
              <w14:schemeClr w14:val="tx1"/>
            </w14:solidFill>
          </w14:textFill>
        </w:rPr>
      </w:pPr>
      <w:r>
        <w:rPr>
          <w:rFonts w:ascii="黑体" w:hAnsi="华文中宋" w:eastAsia="黑体"/>
          <w:color w:val="000000" w:themeColor="text1"/>
          <w:sz w:val="28"/>
          <w:szCs w:val="28"/>
          <w14:textFill>
            <w14:solidFill>
              <w14:schemeClr w14:val="tx1"/>
            </w14:solidFill>
          </w14:textFill>
        </w:rPr>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（采购人、受采购人委托签订合同的单位或采购文件约定的合同甲方）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乙方1（全称）：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3</w:t>
      </w:r>
      <w:r>
        <w:rPr>
          <w:rFonts w:hint="eastAsia"/>
          <w:color w:val="000000" w:themeColor="text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1200"/>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1200"/>
        <w:numPr>
          <w:ilvl w:val="0"/>
          <w:numId w:val="7"/>
        </w:numPr>
        <w:ind w:left="0" w:firstLine="420"/>
        <w:spacing w:after="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hint="eastAsia" w:ascii="宋体" w:hAnsi="宋体"/>
          <w:color w:val="000000" w:themeColor="text1"/>
          <w:szCs w:val="21"/>
          <w:u w:val="single"/>
          <w14:textFill>
            <w14:solidFill>
              <w14:schemeClr w14:val="tx1"/>
            </w14:solidFill>
          </w14:textFill>
        </w:rPr>
        <w:t xml:space="preserve">                                        </w:t>
      </w:r>
      <w:r/>
    </w:p>
    <w:p>
      <w:pPr>
        <w:pStyle w:val="1200"/>
        <w:numPr>
          <w:ilvl w:val="255"/>
          <w:numId w:val="0"/>
        </w:numPr>
        <w:spacing w:after="0" w:line="400" w:lineRule="exact"/>
        <w:tabs>
          <w:tab w:val="left" w:pos="999"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1200"/>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采购标的及数量（台/套</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个</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架</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组等）：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品牌：</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规格型号：</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p>
    <w:p>
      <w:pPr>
        <w:ind w:firstLine="945"/>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采购标的的技术要求、商务要求具体见附件。</w:t>
      </w:r>
      <w:r/>
    </w:p>
    <w:p>
      <w:pPr>
        <w:numPr>
          <w:ilvl w:val="255"/>
          <w:numId w:val="0"/>
        </w:numPr>
        <w:ind w:firstLine="945"/>
        <w:spacing w:line="400" w:lineRule="exact"/>
        <w:rPr>
          <w:rFonts w:ascii="宋体" w:hAnsi="宋体" w:cs="宋体"/>
          <w:color w:val="000000" w:themeColor="text1"/>
          <w:szCs w:val="21"/>
          <w14:textFill>
            <w14:solidFill>
              <w14:schemeClr w14:val="tx1"/>
            </w14:solidFill>
          </w14:textFill>
        </w:rPr>
      </w:pPr>
      <w:r>
        <w:rPr>
          <w:rFonts w:hint="eastAsia" w:ascii="汉仪书宋二S" w:hAnsi="汉仪书宋二S" w:eastAsia="汉仪书宋二S" w:cs="汉仪书宋二S"/>
          <w:color w:val="000000" w:themeColor="text1"/>
          <w:szCs w:val="21"/>
          <w14:textFill>
            <w14:solidFill>
              <w14:schemeClr w14:val="tx1"/>
            </w14:solidFill>
          </w14:textFill>
        </w:rPr>
        <w:t xml:space="preserve">①</w:t>
      </w:r>
      <w:r>
        <w:rPr>
          <w:rFonts w:hint="eastAsia" w:ascii="宋体" w:hAnsi="宋体" w:cs="宋体"/>
          <w:color w:val="000000" w:themeColor="text1"/>
          <w:szCs w:val="21"/>
          <w14:textFill>
            <w14:solidFill>
              <w14:schemeClr w14:val="tx1"/>
            </w14:solidFill>
          </w14:textFill>
        </w:rPr>
        <w:t xml:space="preserve">涉及信息类产品，请填写该产品关键部件的品牌、型号：</w:t>
      </w:r>
      <w:r/>
    </w:p>
    <w:p>
      <w:pPr>
        <w:numPr>
          <w:ilvl w:val="255"/>
          <w:numId w:val="0"/>
        </w:num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标的名称：</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关键部件：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型号：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pStyle w:val="124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124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p>
    <w:p>
      <w:pPr>
        <w:pStyle w:val="1248"/>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248"/>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hint="eastAsia" w:ascii="汉仪书宋二S" w:hAnsi="汉仪书宋二S" w:eastAsia="汉仪书宋二S" w:cs="汉仪书宋二S"/>
          <w:color w:val="000000" w:themeColor="text1"/>
          <w:sz w:val="21"/>
          <w14:textFill>
            <w14:solidFill>
              <w14:schemeClr w14:val="tx1"/>
            </w14:solidFill>
          </w14:textFill>
        </w:rPr>
        <w:t xml:space="preserve">②</w:t>
      </w:r>
      <w:r>
        <w:rPr>
          <w:rFonts w:hint="eastAsia" w:ascii="宋体" w:hAnsi="宋体" w:eastAsia="宋体" w:cs="宋体"/>
          <w:color w:val="000000" w:themeColor="text1"/>
          <w:sz w:val="21"/>
          <w14:textFill>
            <w14:solidFill>
              <w14:schemeClr w14:val="tx1"/>
            </w14:solidFill>
          </w14:textFill>
        </w:rPr>
        <w:t xml:space="preserve">涉及车辆采购，请填写是否属于新能源汽车：</w:t>
      </w:r>
      <w:r/>
    </w:p>
    <w:p>
      <w:pPr>
        <w:pStyle w:val="1248"/>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数量：</w:t>
      </w:r>
      <w:r>
        <w:rPr>
          <w:rFonts w:hint="eastAsia" w:asciiTheme="minorEastAsia" w:hAnsiTheme="minorEastAsia" w:eastAsiaTheme="minorEastAsia" w:cstheme="minorEastAsia"/>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金额：</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p>
    <w:p>
      <w:pPr>
        <w:pStyle w:val="1248"/>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否</w:t>
      </w:r>
      <w:r/>
    </w:p>
    <w:p>
      <w:pPr>
        <w:pStyle w:val="1248"/>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Theme="minorEastAsia" w:hAnsiTheme="minorEastAsia" w:eastAsiaTheme="minorEastAsia" w:cstheme="minorEastAsia"/>
          <w:color w:val="000000" w:themeColor="text1"/>
          <w:sz w:val="21"/>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分散采购</w:t>
      </w:r>
      <w:r/>
    </w:p>
    <w:p>
      <w:pPr>
        <w:pStyle w:val="1248"/>
        <w:numPr>
          <w:ilvl w:val="255"/>
          <w:numId w:val="0"/>
        </w:numPr>
        <w:ind w:firstLine="420"/>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w:t>
      </w:r>
      <w:r>
        <w:rPr>
          <w:rFonts w:asciiTheme="minorEastAsia" w:hAnsiTheme="minorEastAsia" w:eastAsiaTheme="minorEastAsia" w:cstheme="minorEastAsia"/>
          <w:color w:val="000000" w:themeColor="text1"/>
          <w:sz w:val="21"/>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竞争性磋商</w:t>
      </w:r>
      <w:r/>
    </w:p>
    <w:p>
      <w:pPr>
        <w:pStyle w:val="1248"/>
        <w:numPr>
          <w:ilvl w:val="255"/>
          <w:numId w:val="0"/>
        </w:numPr>
        <w:ind w:firstLine="420"/>
        <w:rPr>
          <w:rFonts w:ascii="宋体" w:hAns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其他：</w:t>
      </w:r>
      <w:r>
        <w:rPr>
          <w:rFonts w:hint="eastAsia" w:ascii="宋体" w:hAnsi="宋体" w:eastAsia="宋体" w:cs="宋体"/>
          <w:color w:val="000000" w:themeColor="text1"/>
          <w:sz w:val="21"/>
          <w:u w:val="single"/>
          <w14:textFill>
            <w14:solidFill>
              <w14:schemeClr w14:val="tx1"/>
            </w14:solidFill>
          </w14:textFill>
        </w:rPr>
        <w:t xml:space="preserve">          </w:t>
      </w:r>
      <w:r/>
    </w:p>
    <w:p>
      <w:pPr>
        <w:pStyle w:val="1248"/>
        <w:numPr>
          <w:ilvl w:val="255"/>
          <w:numId w:val="0"/>
        </w:numPr>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（注：在框架协议采购的第二阶段，可选择使用该合同文本）</w:t>
      </w:r>
      <w:r/>
    </w:p>
    <w:p>
      <w:pPr>
        <w:pStyle w:val="1248"/>
        <w:numPr>
          <w:ilvl w:val="255"/>
          <w:numId w:val="0"/>
        </w:numPr>
        <w:ind w:firstLine="220"/>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þ</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分包主要内容：</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  </w:t>
      </w:r>
      <w:r/>
    </w:p>
    <w:p>
      <w:pPr>
        <w:ind w:firstLine="840"/>
        <w:spacing w:line="400" w:lineRule="exact"/>
        <w:rPr>
          <w:rFonts w:eastAsia="华文楷体"/>
          <w:color w:val="000000" w:themeColor="text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p>
    <w:p>
      <w:pPr>
        <w:numPr>
          <w:ilvl w:val="255"/>
          <w:numId w:val="0"/>
        </w:numPr>
        <w:spacing w:line="400" w:lineRule="exact"/>
        <w:rPr>
          <w:rFonts w:ascii="宋体" w:hAnsi="宋体" w:cs="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pStyle w:val="1248"/>
        <w:tabs>
          <w:tab w:val="left" w:pos="1340" w:leader="none"/>
        </w:tabs>
        <w:rPr>
          <w:rFonts w:ascii="宋体" w:hAnsi="宋体" w:eastAsia="宋体" w:cs="宋体"/>
          <w:color w:val="000000" w:themeColor="text1"/>
          <w:sz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1"/>
          <w14:textFill>
            <w14:solidFill>
              <w14:schemeClr w14:val="tx1"/>
            </w14:solidFill>
          </w14:textFill>
        </w:rPr>
        <w:t xml:space="preserve">部分由外国投资者投资</w:t>
      </w:r>
      <w:r/>
    </w:p>
    <w:p>
      <w:pPr>
        <w:numPr>
          <w:ilvl w:val="255"/>
          <w:numId w:val="0"/>
        </w:num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）是否涉及进口产品：</w:t>
      </w:r>
      <w:r/>
    </w:p>
    <w:p>
      <w:pPr>
        <w:numPr>
          <w:ilvl w:val="255"/>
          <w:numId w:val="0"/>
        </w:numPr>
        <w:ind w:firstLine="840"/>
        <w:spacing w:line="400" w:lineRule="exact"/>
        <w:rPr>
          <w:rFonts w:ascii="宋体" w:hAnsi="宋体" w:eastAsia="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w:t>
      </w:r>
      <w:r>
        <w:rPr>
          <w:rFonts w:hint="eastAsia" w:ascii="宋体" w:hAnsi="宋体" w:cs="宋体"/>
          <w:color w:val="000000" w:themeColor="text1"/>
          <w:szCs w:val="21"/>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金额：</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国别：</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品牌：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规格型号：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0</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是否涉及节能产品：</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《节能产品政府采购品目清单》的底级品目名称：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是否涉及</w:t>
      </w:r>
      <w:r>
        <w:rPr>
          <w:rFonts w:hint="eastAsia" w:ascii="宋体" w:hAnsi="宋体"/>
          <w:color w:val="000000" w:themeColor="text1"/>
          <w:szCs w:val="21"/>
          <w14:textFill>
            <w14:solidFill>
              <w14:schemeClr w14:val="tx1"/>
            </w14:solidFill>
          </w14:textFill>
        </w:rPr>
        <w:t xml:space="preserve">环境标志</w:t>
      </w:r>
      <w:r>
        <w:rPr>
          <w:rFonts w:hint="eastAsia" w:ascii="宋体" w:hAnsi="宋体" w:eastAsia="宋体"/>
          <w:color w:val="000000" w:themeColor="text1"/>
          <w:szCs w:val="21"/>
          <w14:textFill>
            <w14:solidFill>
              <w14:schemeClr w14:val="tx1"/>
            </w14:solidFill>
          </w14:textFill>
        </w:rPr>
        <w:t xml:space="preserve">产品：</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《环境标志产品政府采购品目清单》的底级品目名称：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pStyle w:val="1248"/>
        <w:numPr>
          <w:ilvl w:val="255"/>
          <w:numId w:val="0"/>
        </w:numPr>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hAnsi="宋体" w:eastAsia="宋体" w:cs="Times New Roman"/>
          <w:color w:val="000000" w:themeColor="text1"/>
          <w:sz w:val="21"/>
          <w14:textFill>
            <w14:solidFill>
              <w14:schemeClr w14:val="tx1"/>
            </w14:solidFill>
          </w14:textFill>
        </w:rPr>
        <w:t xml:space="preserve">是否涉及绿色产品： </w:t>
      </w:r>
      <w:r/>
    </w:p>
    <w:p>
      <w:pPr>
        <w:pStyle w:val="1248"/>
        <w:ind w:firstLine="420"/>
        <w:rPr>
          <w:rFonts w:ascii="宋体" w:hAnsi="宋体" w:eastAsia="宋体"/>
          <w:color w:val="000000" w:themeColor="text1"/>
          <w:u w:val="single"/>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hAnsi="宋体" w:eastAsia="宋体"/>
          <w:color w:val="000000" w:themeColor="text1"/>
          <w:u w:val="single"/>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pStyle w:val="1248"/>
        <w:ind w:firstLine="420"/>
        <w:rPr>
          <w:rFonts w:ascii="宋体" w:hAnsi="宋体"/>
          <w:color w:val="000000" w:themeColor="text1"/>
          <w:sz w:val="21"/>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涉及商品包装和快递包装的，是否参考</w:t>
      </w:r>
      <w:r>
        <w:rPr>
          <w:rFonts w:hint="eastAsia" w:ascii="宋体" w:hAnsi="宋体"/>
          <w:color w:val="000000" w:themeColor="text1"/>
          <w:szCs w:val="21"/>
          <w14:textFill>
            <w14:solidFill>
              <w14:schemeClr w14:val="tx1"/>
            </w14:solidFill>
          </w14:textFill>
        </w:rPr>
        <w:t xml:space="preserve">《商品包装政府采购需求标准（试行）》《快递包装政府采购需求标准（试行）》</w:t>
      </w:r>
      <w:r>
        <w:rPr>
          <w:rFonts w:hint="eastAsia" w:ascii="宋体" w:hAnsi="宋体" w:eastAsia="宋体"/>
          <w:color w:val="000000" w:themeColor="text1"/>
          <w:szCs w:val="21"/>
          <w14:textFill>
            <w14:solidFill>
              <w14:schemeClr w14:val="tx1"/>
            </w14:solidFill>
          </w14:textFill>
        </w:rPr>
        <w:t xml:space="preserve">明确产品及相关快递服务的具体包装要求：</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不涉及</w:t>
      </w:r>
      <w:r/>
    </w:p>
    <w:p>
      <w:pPr>
        <w:numPr>
          <w:ilvl w:val="0"/>
          <w:numId w:val="6"/>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合同金额</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分包金额（如有）小写：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（注：固定单价合同应填写单价和最高限价）</w:t>
      </w:r>
      <w:r/>
    </w:p>
    <w:p>
      <w:pPr>
        <w:numPr>
          <w:ilvl w:val="255"/>
          <w:numId w:val="0"/>
        </w:num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（2）合同定价方式（采用组合定价方式的，可以勾选多项）：</w:t>
      </w:r>
      <w:r/>
    </w:p>
    <w:p>
      <w:pPr>
        <w:ind w:firstLine="420"/>
        <w:spacing w:line="400" w:lineRule="exact"/>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1226"/>
        <w:spacing w:line="400" w:lineRule="exac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全额付款：</w:t>
      </w:r>
      <w:r>
        <w:rPr>
          <w:rFonts w:hint="eastAsia" w:ascii="宋体" w:hAnsi="宋体"/>
          <w:color w:val="000000" w:themeColor="text1"/>
          <w:szCs w:val="21"/>
          <w:u w:val="single"/>
          <w14:textFill>
            <w14:solidFill>
              <w14:schemeClr w14:val="tx1"/>
            </w14:solidFill>
          </w14:textFill>
        </w:rPr>
        <w:t xml:space="preserve">     （应明确一次性支付合同款项的条件）                    </w:t>
      </w:r>
      <w:r/>
    </w:p>
    <w:p>
      <w:pPr>
        <w:ind w:firstLine="63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分期付款：</w:t>
      </w:r>
      <w:r>
        <w:rPr>
          <w:rFonts w:hint="eastAsia" w:ascii="宋体" w:hAns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14:textFill>
            <w14:solidFill>
              <w14:schemeClr w14:val="tx1"/>
            </w14:solidFill>
          </w14:textFill>
        </w:rPr>
        <w:t xml:space="preserve">，其中涉及预付款的：</w:t>
      </w:r>
      <w:r>
        <w:rPr>
          <w:rFonts w:hint="eastAsia" w:ascii="宋体" w:hAnsi="宋体"/>
          <w:color w:val="000000" w:themeColor="text1"/>
          <w:szCs w:val="21"/>
          <w:u w:val="single"/>
          <w14:textFill>
            <w14:solidFill>
              <w14:schemeClr w14:val="tx1"/>
            </w14:solidFill>
          </w14:textFill>
        </w:rPr>
        <w:t xml:space="preserve"> （应明确预付款的支付比例和支付条件） </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成本补偿：</w:t>
      </w:r>
      <w:r>
        <w:rPr>
          <w:rFonts w:hint="eastAsia" w:ascii="宋体" w:hAnsi="宋体"/>
          <w:color w:val="000000" w:themeColor="text1"/>
          <w:szCs w:val="21"/>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绩效激励：</w:t>
      </w:r>
      <w:r>
        <w:rPr>
          <w:rFonts w:hint="eastAsia" w:ascii="宋体" w:hAns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6"/>
        </w:numPr>
        <w:ind w:firstLine="420"/>
        <w:spacing w:line="400" w:lineRule="exact"/>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14:textFill>
            <w14:solidFill>
              <w14:schemeClr w14:val="tx1"/>
            </w14:solidFill>
          </w14:textFill>
        </w:rPr>
        <w:t xml:space="preserve">是否收取履约保证金：</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否</w:t>
      </w:r>
      <w:r/>
    </w:p>
    <w:p>
      <w:pPr>
        <w:pStyle w:val="1248"/>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收取履约保证金形式：</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以支票、汇票、本票、保函等非现金形式缴纳或提交；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pStyle w:val="1248"/>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收取履约保证金金额：</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合同价的10%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ind w:firstLine="420"/>
        <w:spacing w:line="400" w:lineRule="exact"/>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履约</w:t>
      </w:r>
      <w:r>
        <w:rPr>
          <w:rFonts w:hint="eastAsia" w:ascii="宋体" w:hAnsi="宋体" w:cs="宋体"/>
          <w:bCs/>
          <w:color w:val="auto"/>
          <w:sz w:val="21"/>
          <w:szCs w:val="21"/>
          <w:highlight w:val="none"/>
          <w:lang w:val="en-US" w:eastAsia="zh-CN" w:bidi="ar-SA"/>
        </w:rPr>
        <w:t xml:space="preserve">担</w:t>
      </w:r>
      <w:r>
        <w:rPr>
          <w:rFonts w:hint="eastAsia" w:ascii="宋体" w:hAnsi="宋体" w:eastAsia="等线" w:cs="宋体"/>
          <w:bCs/>
          <w:color w:val="auto"/>
          <w:sz w:val="21"/>
          <w:szCs w:val="21"/>
          <w:highlight w:val="none"/>
          <w:lang w:val="en-US" w:eastAsia="zh-CN" w:bidi="ar-SA"/>
        </w:rPr>
        <w:t xml:space="preserve">保期限：</w:t>
      </w:r>
      <w:r>
        <w:rPr>
          <w:rFonts w:hint="eastAsia" w:ascii="宋体" w:hAnsi="宋体" w:cs="宋体"/>
          <w:bCs/>
          <w:color w:val="auto"/>
          <w:sz w:val="21"/>
          <w:szCs w:val="21"/>
          <w:highlight w:val="none"/>
          <w:u w:val="single"/>
          <w:lang w:val="en-US" w:eastAsia="zh-CN" w:bidi="ar-SA"/>
        </w:rPr>
        <w:t xml:space="preserve">在合同期满后30天内且中标人无任何违约或违法行为，由采购人无息退还给中标人                         </w:t>
      </w:r>
      <w:r>
        <w:rPr>
          <w:rFonts w:hint="eastAsia" w:ascii="宋体" w:hAnsi="宋体" w:eastAsia="等线" w:cs="宋体"/>
          <w:bCs/>
          <w:color w:val="auto"/>
          <w:sz w:val="21"/>
          <w:szCs w:val="21"/>
          <w:highlight w:val="none"/>
          <w:lang w:val="en-US" w:eastAsia="zh-CN" w:bidi="ar-SA"/>
        </w:rPr>
        <w:t xml:space="preserve">                                  </w:t>
      </w:r>
      <w:r/>
    </w:p>
    <w:p>
      <w:pPr>
        <w:pStyle w:val="1248"/>
        <w:ind w:firstLine="630"/>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履约保证金的缴纳时间：</w:t>
      </w:r>
      <w:r>
        <w:rPr>
          <w:rFonts w:hint="eastAsia" w:ascii="宋体" w:hAnsi="宋体" w:eastAsia="等线" w:cs="宋体"/>
          <w:bCs/>
          <w:color w:val="auto"/>
          <w:sz w:val="21"/>
          <w:szCs w:val="21"/>
          <w:highlight w:val="none"/>
          <w:u w:val="single"/>
          <w:lang w:val="en-US" w:eastAsia="zh-CN" w:bidi="ar-SA"/>
        </w:rPr>
        <w:t xml:space="preserve">中标人在签订合同后5个工作日内，向采购人提交履约保证金；                             </w:t>
      </w:r>
      <w:r>
        <w:rPr>
          <w:rFonts w:hint="eastAsia" w:ascii="宋体" w:hAnsi="宋体" w:eastAsia="等线" w:cs="宋体"/>
          <w:bCs/>
          <w:color w:val="auto"/>
          <w:sz w:val="21"/>
          <w:szCs w:val="21"/>
          <w:highlight w:val="none"/>
          <w:lang w:val="en-US" w:eastAsia="zh-CN" w:bidi="ar-SA"/>
        </w:rPr>
        <w:t xml:space="preserve">                           </w:t>
      </w:r>
      <w:r/>
    </w:p>
    <w:p>
      <w:pPr>
        <w:pStyle w:val="1248"/>
        <w:ind w:firstLine="630"/>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退付办法：</w:t>
      </w:r>
      <w:r>
        <w:rPr>
          <w:rFonts w:hint="eastAsia" w:ascii="宋体" w:hAnsi="宋体" w:eastAsia="等线" w:cs="宋体"/>
          <w:bCs/>
          <w:color w:val="auto"/>
          <w:sz w:val="21"/>
          <w:szCs w:val="21"/>
          <w:highlight w:val="none"/>
          <w:u w:val="single"/>
          <w:lang w:val="en-US" w:eastAsia="zh-CN" w:bidi="ar-SA"/>
        </w:rPr>
        <w:t xml:space="preserve">与中标人提交履约保证金的方式相同；                          </w:t>
      </w:r>
      <w:r>
        <w:rPr>
          <w:rFonts w:hint="eastAsia" w:ascii="宋体" w:hAnsi="宋体" w:eastAsia="等线" w:cs="宋体"/>
          <w:bCs/>
          <w:color w:val="auto"/>
          <w:sz w:val="21"/>
          <w:szCs w:val="21"/>
          <w:highlight w:val="none"/>
          <w:lang w:val="en-US" w:eastAsia="zh-CN" w:bidi="ar-SA"/>
        </w:rPr>
        <w:t xml:space="preserve">                                      </w:t>
      </w:r>
      <w:r/>
    </w:p>
    <w:p>
      <w:pPr>
        <w:pStyle w:val="1248"/>
        <w:rPr>
          <w:rFonts w:hint="default" w:ascii="宋体" w:hAnsi="宋体" w:eastAsia="等线" w:cs="宋体"/>
          <w:bCs/>
          <w:color w:val="auto"/>
          <w:sz w:val="21"/>
          <w:szCs w:val="21"/>
          <w:highlight w:val="none"/>
          <w:u w:val="single"/>
          <w:lang w:val="en-US" w:eastAsia="zh-CN" w:bidi="ar-SA"/>
        </w:rPr>
      </w:pPr>
      <w:r>
        <w:rPr>
          <w:rFonts w:hint="eastAsia" w:ascii="宋体" w:hAnsi="宋体" w:eastAsia="等线" w:cs="宋体"/>
          <w:bCs/>
          <w:color w:val="auto"/>
          <w:sz w:val="21"/>
          <w:szCs w:val="21"/>
          <w:highlight w:val="none"/>
          <w:lang w:val="en-US" w:eastAsia="zh-CN" w:bidi="ar-SA"/>
        </w:rPr>
        <w:t xml:space="preserve">履约保证金不予退还的情形：</w:t>
      </w:r>
      <w:r>
        <w:rPr>
          <w:rFonts w:hint="eastAsia" w:ascii="宋体" w:hAnsi="宋体" w:eastAsia="等线" w:cs="宋体"/>
          <w:bCs/>
          <w:color w:val="auto"/>
          <w:sz w:val="21"/>
          <w:szCs w:val="21"/>
          <w:highlight w:val="none"/>
          <w:u w:val="single"/>
          <w:lang w:val="en-US" w:eastAsia="zh-CN" w:bidi="ar-SA"/>
        </w:rPr>
        <w:t xml:space="preserve">①由于中标方的原因不能履约的，②在履行合同期间发生重大安全事故，给采购人造成不良影响和严重经济损失的                                </w:t>
      </w:r>
      <w:r/>
    </w:p>
    <w:p>
      <w:pPr>
        <w:ind w:firstLine="420"/>
        <w:spacing w:line="400" w:lineRule="exact"/>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auto"/>
          <w:sz w:val="21"/>
          <w:szCs w:val="21"/>
          <w:highlight w:val="none"/>
          <w:lang w:val="en-US" w:eastAsia="zh-CN" w:bidi="ar-SA"/>
        </w:rPr>
        <w:t xml:space="preserve">逾期退还履约保证金的违约责任：</w:t>
      </w:r>
      <w:r>
        <w:rPr>
          <w:rFonts w:hint="eastAsia" w:ascii="宋体" w:hAnsi="宋体" w:cs="宋体"/>
          <w:bCs/>
          <w:color w:val="auto"/>
          <w:sz w:val="21"/>
          <w:szCs w:val="21"/>
          <w:highlight w:val="none"/>
          <w:u w:val="single"/>
          <w:lang w:val="en-US" w:eastAsia="zh-CN" w:bidi="ar-SA"/>
        </w:rPr>
        <w:t xml:space="preserve">履约保证金在合同期满后30天内且中标人无任何违约或违法行为，由采购人无息退还给中标人，如采购人未按时退还履约保证金，应当赔偿中标人利息损失；        </w:t>
      </w:r>
      <w:r>
        <w:rPr>
          <w:rFonts w:hint="eastAsia" w:ascii="宋体" w:hAnsi="宋体"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ind w:firstLine="420"/>
        <w:spacing w:before="0"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（5）风险处置措施和替代方案：</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6"/>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8"/>
        </w:num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验收主体：</w:t>
      </w:r>
      <w:r>
        <w:rPr>
          <w:rFonts w:hint="eastAsia" w:ascii="宋体" w:hAnsi="宋体"/>
          <w:bCs/>
          <w:color w:val="000000" w:themeColor="text1"/>
          <w:szCs w:val="21"/>
          <w:u w:val="single"/>
          <w14:textFill>
            <w14:solidFill>
              <w14:schemeClr w14:val="tx1"/>
            </w14:solidFill>
          </w14:textFill>
        </w:rPr>
        <w:t xml:space="preserve">                  </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eastAsia="宋体"/>
          <w:bCs/>
          <w:color w:val="000000" w:themeColor="text1"/>
          <w:szCs w:val="21"/>
          <w:u w:val="single"/>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是，</w:t>
      </w:r>
      <w:r>
        <w:rPr>
          <w:rFonts w:hint="eastAsia" w:ascii="宋体" w:hAnsi="宋体" w:eastAsia="宋体"/>
          <w:bCs/>
          <w:color w:val="000000" w:themeColor="text1"/>
          <w:szCs w:val="21"/>
          <w:u w:val="single"/>
          <w14:textFill>
            <w14:solidFill>
              <w14:schemeClr w14:val="tx1"/>
            </w14:solidFill>
          </w14:textFill>
        </w:rPr>
        <w:t xml:space="preserve">（应明确对被破坏的检测产品的处理方式）</w:t>
      </w:r>
      <w:r/>
    </w:p>
    <w:p>
      <w:pPr>
        <w:ind w:firstLine="840"/>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一次性验收         </w:t>
      </w:r>
      <w:r/>
    </w:p>
    <w:p>
      <w:pPr>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u w:val="single"/>
          <w14:textFill>
            <w14:solidFill>
              <w14:schemeClr w14:val="tx1"/>
            </w14:solidFill>
          </w14:textFill>
        </w:rPr>
        <w:t xml:space="preserve"> （应明确分期</w:t>
      </w:r>
      <w:r>
        <w:rPr>
          <w:rFonts w:ascii="宋体" w:hAnsi="宋体"/>
          <w:bCs/>
          <w:color w:val="000000" w:themeColor="text1"/>
          <w:szCs w:val="21"/>
          <w:u w:val="single"/>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分项验收的工作安排）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1248"/>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40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（产权过户登记等）          </w:t>
      </w:r>
      <w:r/>
    </w:p>
    <w:p>
      <w:pPr>
        <w:numPr>
          <w:ilvl w:val="0"/>
          <w:numId w:val="6"/>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（5）投标（响应）文件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124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6"/>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生效。</w:t>
      </w:r>
      <w:r/>
    </w:p>
    <w:p>
      <w:pPr>
        <w:numPr>
          <w:ilvl w:val="0"/>
          <w:numId w:val="6"/>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份，甲方执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份，乙方执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附件：具体标的及其技术要求和商务要求、联合协议、分包意向协议等。</w:t>
      </w:r>
      <w:r/>
    </w:p>
    <w:p>
      <w:pPr>
        <w:pStyle w:val="1226"/>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119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1200"/>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1185"/>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9"/>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99"/>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1199"/>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1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24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1205"/>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205"/>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 </w:t>
      </w:r>
      <w:r>
        <w:rPr>
          <w:rFonts w:hint="eastAsia" w:ascii="宋体" w:hAnsi="宋体" w:eastAsia="宋体" w:cs="宋体"/>
          <w:color w:val="000000" w:themeColor="text1"/>
          <w:szCs w:val="21"/>
          <w14:textFill>
            <w14:solidFill>
              <w14:schemeClr w14:val="tx1"/>
            </w14:solidFill>
          </w14:textFill>
        </w:rPr>
        <w:t xml:space="preserve">供货完成且经采购人验收无质量问题后付至合同金额的90%，一年后付</w:t>
      </w:r>
      <w:r>
        <w:rPr>
          <w:rFonts w:hint="eastAsia" w:ascii="宋体" w:hAnsi="宋体" w:eastAsia="宋体" w:cs="宋体"/>
          <w:color w:val="000000" w:themeColor="text1"/>
          <w:szCs w:val="21"/>
          <w:lang w:val="en-US" w:eastAsia="zh-CN"/>
          <w14:textFill>
            <w14:solidFill>
              <w14:schemeClr w14:val="tx1"/>
            </w14:solidFill>
          </w14:textFill>
        </w:rPr>
        <w:t xml:space="preserve">至95%，质保期满后付清余款</w:t>
      </w:r>
      <w:r>
        <w:rPr>
          <w:rFonts w:hint="eastAsia" w:ascii="宋体" w:hAnsi="宋体" w:eastAsia="宋体" w:cs="宋体"/>
          <w:color w:val="000000" w:themeColor="text1"/>
          <w:szCs w:val="21"/>
          <w14:textFill>
            <w14:solidFill>
              <w14:schemeClr w14:val="tx1"/>
            </w14:solidFill>
          </w14:textFill>
        </w:rPr>
        <w:t xml:space="preserve">。采购人原则上应当自收到发票后10个工作日内将资金支付到合同约定的供应商账户。若中标人未能按期开具发票，采购人可顺延付款。</w:t>
      </w:r>
      <w:r/>
    </w:p>
    <w:p>
      <w:pPr>
        <w:ind w:firstLine="42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themeColor="text1"/>
          <w:szCs w:val="21"/>
          <w:highlight w:val="none"/>
          <w:u w:val="single"/>
          <w14:textFill>
            <w14:solidFill>
              <w14:schemeClr w14:val="tx1"/>
            </w14:solidFill>
          </w14:textFill>
        </w:rPr>
      </w:pPr>
      <w:r>
        <w:rPr>
          <w:rFonts w:ascii="宋体" w:hAnsi="宋体" w:eastAsia="宋体" w:cs="宋体"/>
          <w:color w:val="000000" w:themeColor="text1"/>
          <w:szCs w:val="21"/>
          <w:highlight w:val="none"/>
          <w:u w:val="single"/>
          <w14:textFill>
            <w14:solidFill>
              <w14:schemeClr w14:val="tx1"/>
            </w14:solidFill>
          </w14:textFill>
        </w:rPr>
      </w:r>
      <w:r/>
    </w:p>
    <w:p>
      <w:pPr>
        <w:pStyle w:val="1199"/>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248"/>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1202"/>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202"/>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1202"/>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1202"/>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1202"/>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16.</w:t>
      </w: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4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248"/>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24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24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4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24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1199"/>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24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24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248"/>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248"/>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bookmarkEnd w:id="25"/>
      <w:r/>
      <w:r/>
    </w:p>
    <w:p>
      <w:pPr>
        <w:pStyle w:val="1185"/>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119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248"/>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48"/>
        <w:rPr>
          <w:highlight w:val="none"/>
        </w:rPr>
      </w:pPr>
      <w:r>
        <w:rPr>
          <w:highlight w:val="none"/>
        </w:rPr>
      </w:r>
      <w:r/>
    </w:p>
    <w:p>
      <w:pPr>
        <w:pStyle w:val="1248"/>
        <w:rPr>
          <w:highlight w:val="none"/>
        </w:rPr>
      </w:pPr>
      <w:r>
        <w:rPr>
          <w:highlight w:val="none"/>
        </w:rPr>
      </w:r>
      <w:r/>
    </w:p>
    <w:p>
      <w:pPr>
        <w:pStyle w:val="1248"/>
        <w:rPr>
          <w:highlight w:val="none"/>
        </w:rPr>
      </w:pPr>
      <w:r>
        <w:rPr>
          <w:highlight w:val="none"/>
        </w:rPr>
      </w:r>
      <w:r/>
    </w:p>
    <w:p>
      <w:pPr>
        <w:pStyle w:val="1248"/>
        <w:rPr>
          <w:highlight w:val="none"/>
        </w:rPr>
      </w:pPr>
      <w:r>
        <w:rPr>
          <w:highlight w:val="none"/>
        </w:rPr>
      </w:r>
      <w:r/>
    </w:p>
    <w:p>
      <w:pPr>
        <w:pStyle w:val="1248"/>
        <w:rPr>
          <w:highlight w:val="none"/>
        </w:rPr>
      </w:pPr>
      <w:r>
        <w:rPr>
          <w:highlight w:val="none"/>
        </w:rPr>
      </w:r>
      <w:r/>
    </w:p>
    <w:p>
      <w:pPr>
        <w:pStyle w:val="1248"/>
        <w:rPr>
          <w:highlight w:val="none"/>
        </w:rPr>
      </w:pPr>
      <w:r>
        <w:rPr>
          <w:highlight w:val="none"/>
        </w:rPr>
      </w:r>
      <w:r/>
    </w:p>
    <w:p>
      <w:pPr>
        <w:pStyle w:val="1248"/>
        <w:rPr>
          <w:highlight w:val="none"/>
        </w:rPr>
      </w:pPr>
      <w:r>
        <w:rPr>
          <w:highlight w:val="none"/>
        </w:rPr>
      </w:r>
      <w:r/>
    </w:p>
    <w:p>
      <w:pPr>
        <w:pStyle w:val="1248"/>
        <w:rPr>
          <w:highlight w:val="none"/>
        </w:rPr>
      </w:pPr>
      <w:r>
        <w:rPr>
          <w:highlight w:val="none"/>
        </w:rPr>
      </w:r>
      <w:r/>
    </w:p>
    <w:p>
      <w:pPr>
        <w:ind w:left="0" w:right="0" w:firstLine="0"/>
        <w:jc w:val="cente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jc w:val="left"/>
        <w:rPr>
          <w:rFonts w:hint="eastAsia" w:ascii="黑体" w:eastAsia="黑体"/>
          <w:bCs/>
          <w:sz w:val="28"/>
          <w:szCs w:val="28"/>
          <w:highlight w:val="none"/>
        </w:rPr>
      </w:pPr>
      <w:r>
        <w:rPr>
          <w:rFonts w:hint="eastAsia" w:ascii="黑体" w:eastAsia="黑体"/>
          <w:bCs/>
          <w:sz w:val="28"/>
          <w:szCs w:val="28"/>
          <w:highlight w:val="none"/>
        </w:rPr>
        <w:t xml:space="preserve">附件一：评分标准</w:t>
      </w:r>
      <w:r/>
    </w:p>
    <w:p>
      <w:pPr>
        <w:ind w:left="0" w:firstLine="480"/>
        <w:jc w:val="left"/>
        <w:keepLines w:val="0"/>
        <w:keepNext w:val="0"/>
        <w:pageBreakBefore w:val="0"/>
        <w:spacing w:line="360" w:lineRule="auto"/>
        <w:shd w:val="clear" w:color="auto" w:fill="auto"/>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ind w:firstLine="482"/>
        <w:spacing w:line="360" w:lineRule="auto"/>
        <w:tabs>
          <w:tab w:val="left" w:pos="945" w:leader="none"/>
          <w:tab w:val="left" w:pos="1155"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一、价格</w:t>
      </w:r>
      <w:r>
        <w:rPr>
          <w:rFonts w:hint="eastAsia" w:ascii="宋体" w:hAnsi="宋体" w:eastAsia="宋体" w:cs="宋体"/>
          <w:bCs/>
          <w:sz w:val="24"/>
          <w:szCs w:val="24"/>
          <w:highlight w:val="none"/>
        </w:rPr>
        <w:t xml:space="preserve">                                    </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val="en-US" w:eastAsia="zh-CN"/>
        </w:rPr>
        <w:t xml:space="preserve">40</w:t>
      </w:r>
      <w:r>
        <w:rPr>
          <w:rFonts w:hint="eastAsia" w:ascii="宋体" w:hAnsi="宋体" w:eastAsia="宋体" w:cs="宋体"/>
          <w:b/>
          <w:sz w:val="24"/>
          <w:szCs w:val="24"/>
          <w:highlight w:val="none"/>
        </w:rPr>
        <w:t xml:space="preserve">分</w:t>
      </w:r>
      <w:r/>
    </w:p>
    <w:p>
      <w:pPr>
        <w:ind w:firstLine="482"/>
        <w:spacing w:line="360" w:lineRule="auto"/>
        <w:tabs>
          <w:tab w:val="left" w:pos="945" w:leader="none"/>
          <w:tab w:val="left" w:pos="1155"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二、</w:t>
      </w:r>
      <w:r>
        <w:rPr>
          <w:rFonts w:hint="eastAsia" w:ascii="宋体" w:hAnsi="宋体" w:eastAsia="宋体" w:cs="宋体"/>
          <w:b/>
          <w:bCs w:val="0"/>
          <w:color w:val="000000"/>
          <w:sz w:val="24"/>
          <w:szCs w:val="24"/>
          <w:highlight w:val="none"/>
        </w:rPr>
        <w:t xml:space="preserve">投标人综合实力</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val="en-US" w:eastAsia="zh-CN"/>
        </w:rPr>
        <w:t xml:space="preserve"> 8</w:t>
      </w:r>
      <w:r>
        <w:rPr>
          <w:rFonts w:hint="eastAsia" w:ascii="宋体" w:hAnsi="宋体" w:eastAsia="宋体" w:cs="宋体"/>
          <w:b/>
          <w:sz w:val="24"/>
          <w:szCs w:val="24"/>
          <w:highlight w:val="none"/>
        </w:rPr>
        <w:t xml:space="preserve">分</w:t>
      </w:r>
      <w:r/>
    </w:p>
    <w:p>
      <w:pPr>
        <w:ind w:firstLine="482"/>
        <w:spacing w:line="360" w:lineRule="auto"/>
        <w:tabs>
          <w:tab w:val="left" w:pos="945" w:leader="none"/>
          <w:tab w:val="left" w:pos="1155"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三、</w:t>
      </w:r>
      <w:r>
        <w:rPr>
          <w:rFonts w:hint="eastAsia" w:ascii="宋体" w:hAnsi="宋体" w:eastAsia="宋体" w:cs="宋体"/>
          <w:b/>
          <w:bCs w:val="0"/>
          <w:color w:val="000000"/>
          <w:sz w:val="24"/>
          <w:szCs w:val="24"/>
          <w:highlight w:val="none"/>
        </w:rPr>
        <w:t xml:space="preserve">产品性能及技术要求</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val="en-US" w:eastAsia="zh-CN"/>
        </w:rPr>
        <w:t xml:space="preserve">15</w:t>
      </w:r>
      <w:r>
        <w:rPr>
          <w:rFonts w:hint="eastAsia" w:ascii="宋体" w:hAnsi="宋体" w:eastAsia="宋体" w:cs="宋体"/>
          <w:b/>
          <w:sz w:val="24"/>
          <w:szCs w:val="24"/>
          <w:highlight w:val="none"/>
        </w:rPr>
        <w:t xml:space="preserve">分</w:t>
      </w:r>
      <w:r/>
    </w:p>
    <w:p>
      <w:pPr>
        <w:ind w:firstLine="482"/>
        <w:spacing w:line="360" w:lineRule="auto"/>
        <w:tabs>
          <w:tab w:val="left" w:pos="945" w:leader="none"/>
          <w:tab w:val="left" w:pos="1155"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加分</w:t>
      </w:r>
      <w:r>
        <w:rPr>
          <w:rFonts w:hint="eastAsia" w:ascii="宋体" w:hAnsi="宋体" w:eastAsia="宋体" w:cs="宋体"/>
          <w:b/>
          <w:bCs w:val="0"/>
          <w:color w:val="000000"/>
          <w:sz w:val="24"/>
          <w:szCs w:val="24"/>
          <w:highlight w:val="none"/>
          <w:lang w:val="en-US" w:eastAsia="zh-CN"/>
        </w:rPr>
        <w:t xml:space="preserve">因素                                 </w:t>
      </w:r>
      <w:r>
        <w:rPr>
          <w:rFonts w:hint="eastAsia" w:ascii="宋体" w:hAnsi="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en-US" w:eastAsia="zh-CN"/>
        </w:rPr>
        <w:t xml:space="preserve">分</w:t>
      </w:r>
      <w:r/>
    </w:p>
    <w:p>
      <w:pPr>
        <w:ind w:firstLine="482"/>
        <w:spacing w:line="360" w:lineRule="auto"/>
        <w:tabs>
          <w:tab w:val="left" w:pos="945" w:leader="none"/>
          <w:tab w:val="left" w:pos="1155" w:leader="none"/>
        </w:tabs>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、技术方案                                 </w:t>
      </w:r>
      <w:r>
        <w:rPr>
          <w:rFonts w:hint="eastAsia" w:ascii="宋体" w:hAnsi="宋体" w:eastAsia="宋体" w:cs="宋体"/>
          <w:b/>
          <w:sz w:val="24"/>
          <w:szCs w:val="24"/>
          <w:highlight w:val="none"/>
          <w:lang w:val="en-US" w:eastAsia="zh-CN"/>
        </w:rPr>
        <w:t xml:space="preserve">35</w:t>
      </w:r>
      <w:r>
        <w:rPr>
          <w:rFonts w:hint="eastAsia" w:ascii="宋体" w:hAnsi="宋体" w:eastAsia="宋体" w:cs="宋体"/>
          <w:b/>
          <w:sz w:val="24"/>
          <w:szCs w:val="24"/>
          <w:highlight w:val="none"/>
        </w:rPr>
        <w:t xml:space="preserve">分</w:t>
      </w:r>
      <w:r/>
    </w:p>
    <w:p>
      <w:pPr>
        <w:ind w:firstLine="482"/>
        <w:spacing w:line="360" w:lineRule="auto"/>
        <w:tabs>
          <w:tab w:val="left" w:pos="510" w:leader="none"/>
          <w:tab w:val="left" w:pos="945" w:leader="none"/>
          <w:tab w:val="left" w:pos="1155" w:leader="none"/>
          <w:tab w:val="left" w:pos="3823"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一、价格（</w:t>
      </w:r>
      <w:r>
        <w:rPr>
          <w:rFonts w:hint="eastAsia" w:ascii="宋体" w:hAnsi="宋体" w:eastAsia="宋体" w:cs="宋体"/>
          <w:b/>
          <w:bCs/>
          <w:sz w:val="24"/>
          <w:szCs w:val="24"/>
          <w:highlight w:val="none"/>
          <w:lang w:val="en-US" w:eastAsia="zh-CN"/>
        </w:rPr>
        <w:t xml:space="preserve">40</w:t>
      </w:r>
      <w:r>
        <w:rPr>
          <w:rFonts w:hint="eastAsia" w:ascii="宋体" w:hAnsi="宋体" w:eastAsia="宋体" w:cs="宋体"/>
          <w:b/>
          <w:bCs/>
          <w:sz w:val="24"/>
          <w:szCs w:val="24"/>
          <w:highlight w:val="none"/>
        </w:rPr>
        <w:t xml:space="preserve">分）：</w:t>
      </w:r>
      <w:r/>
    </w:p>
    <w:p>
      <w:pPr>
        <w:ind w:firstLine="480"/>
        <w:spacing w:line="360" w:lineRule="auto"/>
        <w:tabs>
          <w:tab w:val="left" w:pos="945" w:leader="none"/>
          <w:tab w:val="left" w:pos="115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
          <w:bCs w:val="0"/>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投标人综合实力</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8分</w:t>
      </w:r>
      <w:r>
        <w:rPr>
          <w:rFonts w:hint="eastAsia" w:ascii="宋体" w:hAnsi="宋体" w:eastAsia="宋体" w:cs="宋体"/>
          <w:b/>
          <w:sz w:val="24"/>
          <w:szCs w:val="24"/>
          <w:highlight w:val="none"/>
          <w:lang w:eastAsia="zh-CN"/>
        </w:rPr>
        <w:t xml:space="preserve">）</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业绩</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 w:val="0"/>
          <w:bCs w:val="0"/>
          <w:sz w:val="24"/>
          <w:szCs w:val="24"/>
          <w:highlight w:val="none"/>
          <w:shd w:val="clear" w:color="auto" w:fill="ffffff"/>
          <w:lang w:val="en-US" w:eastAsia="zh-CN" w:bidi="ar-SA"/>
        </w:rPr>
      </w:pPr>
      <w:r>
        <w:rPr>
          <w:rFonts w:hint="eastAsia" w:ascii="宋体" w:hAnsi="宋体" w:eastAsia="宋体" w:cs="宋体"/>
          <w:b w:val="0"/>
          <w:bCs w:val="0"/>
          <w:sz w:val="24"/>
          <w:szCs w:val="24"/>
          <w:highlight w:val="none"/>
          <w:lang w:val="en-US" w:eastAsia="zh-CN" w:bidi="ar-SA"/>
        </w:rPr>
        <w:t xml:space="preserve">投标人自202</w:t>
      </w: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年1月1日以来（以合同签订时间为准），承担过同类业绩项目的，每有一个项目得</w:t>
      </w: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分，最高</w:t>
      </w: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分。</w:t>
      </w:r>
      <w:r>
        <w:rPr>
          <w:rFonts w:hint="eastAsia" w:ascii="宋体" w:hAnsi="宋体" w:eastAsia="宋体" w:cs="宋体"/>
          <w:b/>
          <w:bCs w:val="0"/>
          <w:color w:val="auto"/>
          <w:sz w:val="24"/>
          <w:szCs w:val="24"/>
          <w:highlight w:val="none"/>
        </w:rPr>
        <w:t xml:space="preserve">提供单份有效期内的合同或协议、验收证明（能够证明本项目已经完成的证明材料）、</w:t>
      </w:r>
      <w:r>
        <w:rPr>
          <w:rFonts w:hint="eastAsia" w:ascii="宋体" w:hAnsi="宋体" w:eastAsia="宋体" w:cs="宋体"/>
          <w:b/>
          <w:bCs w:val="0"/>
          <w:color w:val="auto"/>
          <w:sz w:val="24"/>
          <w:szCs w:val="24"/>
          <w:highlight w:val="none"/>
          <w:u w:val="none"/>
        </w:rPr>
        <w:t xml:space="preserve">资金往来证明的</w:t>
      </w:r>
      <w:r>
        <w:rPr>
          <w:rFonts w:hint="eastAsia" w:ascii="宋体" w:hAnsi="宋体" w:eastAsia="宋体" w:cs="宋体"/>
          <w:b/>
          <w:bCs w:val="0"/>
          <w:color w:val="auto"/>
          <w:sz w:val="24"/>
          <w:szCs w:val="24"/>
          <w:highlight w:val="none"/>
        </w:rPr>
        <w:t xml:space="preserve">扫描件加盖投标人公章上传至电子标书，时间以合同签订时间为准，否则不得分。】</w:t>
      </w:r>
      <w:r/>
    </w:p>
    <w:p>
      <w:pPr>
        <w:pStyle w:val="1226"/>
        <w:numPr>
          <w:ilvl w:val="0"/>
          <w:numId w:val="11"/>
        </w:numPr>
        <w:ind w:firstLine="482"/>
        <w:spacing w:line="360" w:lineRule="auto"/>
        <w:rPr>
          <w:rFonts w:hint="eastAsia" w:ascii="宋体" w:hAnsi="宋体"/>
          <w:b/>
          <w:sz w:val="24"/>
          <w:szCs w:val="24"/>
          <w:highlight w:val="none"/>
          <w:lang w:val="en-US" w:eastAsia="zh-CN"/>
        </w:rPr>
      </w:pPr>
      <w:r>
        <w:rPr>
          <w:rFonts w:hint="eastAsia" w:ascii="宋体" w:hAnsi="宋体"/>
          <w:b/>
          <w:sz w:val="24"/>
          <w:szCs w:val="24"/>
          <w:highlight w:val="none"/>
          <w:lang w:val="en-US" w:eastAsia="zh-CN"/>
        </w:rPr>
        <w:t xml:space="preserve">项目人员配备（3分）</w:t>
      </w:r>
      <w:r/>
    </w:p>
    <w:p>
      <w:pPr>
        <w:pStyle w:val="1226"/>
        <w:numPr>
          <w:ilvl w:val="0"/>
          <w:numId w:val="0"/>
        </w:numPr>
        <w:ind w:firstLine="480"/>
        <w:spacing w:line="360" w:lineRule="auto"/>
        <w:rPr>
          <w:rFonts w:hint="default" w:ascii="宋体" w:hAnsi="宋体"/>
          <w:b/>
          <w:sz w:val="24"/>
          <w:szCs w:val="24"/>
          <w:highlight w:val="none"/>
          <w:lang w:val="en-US" w:eastAsia="zh-CN"/>
        </w:rPr>
      </w:pPr>
      <w:r>
        <w:rPr>
          <w:rFonts w:hint="default" w:ascii="宋体" w:hAnsi="宋体"/>
          <w:b w:val="0"/>
          <w:bCs/>
          <w:sz w:val="24"/>
          <w:szCs w:val="24"/>
          <w:highlight w:val="none"/>
          <w:lang w:val="en-US" w:eastAsia="zh-CN"/>
        </w:rPr>
        <w:t xml:space="preserve">投标人拟派的安装人员有</w:t>
      </w:r>
      <w:r>
        <w:rPr>
          <w:rFonts w:hint="eastAsia" w:ascii="宋体" w:hAnsi="宋体"/>
          <w:b w:val="0"/>
          <w:bCs/>
          <w:sz w:val="24"/>
          <w:szCs w:val="24"/>
          <w:highlight w:val="none"/>
          <w:lang w:val="en-US" w:eastAsia="zh-CN"/>
        </w:rPr>
        <w:t xml:space="preserve">低压</w:t>
      </w:r>
      <w:r>
        <w:rPr>
          <w:rFonts w:hint="default" w:ascii="宋体" w:hAnsi="宋体"/>
          <w:b w:val="0"/>
          <w:bCs/>
          <w:sz w:val="24"/>
          <w:szCs w:val="24"/>
          <w:highlight w:val="none"/>
          <w:lang w:val="en-US" w:eastAsia="zh-CN"/>
        </w:rPr>
        <w:t xml:space="preserve">电工</w:t>
      </w:r>
      <w:r>
        <w:rPr>
          <w:rFonts w:hint="eastAsia" w:ascii="宋体" w:hAnsi="宋体"/>
          <w:b w:val="0"/>
          <w:bCs/>
          <w:sz w:val="24"/>
          <w:szCs w:val="24"/>
          <w:highlight w:val="none"/>
          <w:lang w:val="en-US" w:eastAsia="zh-CN"/>
        </w:rPr>
        <w:t xml:space="preserve">作业</w:t>
      </w:r>
      <w:r>
        <w:rPr>
          <w:rFonts w:hint="default" w:ascii="宋体" w:hAnsi="宋体"/>
          <w:b w:val="0"/>
          <w:bCs/>
          <w:sz w:val="24"/>
          <w:szCs w:val="24"/>
          <w:highlight w:val="none"/>
          <w:lang w:val="en-US" w:eastAsia="zh-CN"/>
        </w:rPr>
        <w:t xml:space="preserve">证、</w:t>
      </w:r>
      <w:r>
        <w:rPr>
          <w:rFonts w:hint="eastAsia" w:ascii="宋体" w:hAnsi="宋体"/>
          <w:b w:val="0"/>
          <w:bCs/>
          <w:sz w:val="24"/>
          <w:szCs w:val="24"/>
          <w:highlight w:val="none"/>
          <w:lang w:val="en-US" w:eastAsia="zh-CN"/>
        </w:rPr>
        <w:t xml:space="preserve">熔化焊接与热切割作业证</w:t>
      </w:r>
      <w:r>
        <w:rPr>
          <w:rFonts w:hint="default" w:ascii="宋体" w:hAnsi="宋体"/>
          <w:b w:val="0"/>
          <w:bCs/>
          <w:sz w:val="24"/>
          <w:szCs w:val="24"/>
          <w:highlight w:val="none"/>
          <w:lang w:val="en-US" w:eastAsia="zh-CN"/>
        </w:rPr>
        <w:t xml:space="preserve">、燃气燃烧器具安装维修企业从业人员职业技能岗位培训合格证书的每提供一个证加1分，</w:t>
      </w:r>
      <w:r>
        <w:rPr>
          <w:rFonts w:hint="eastAsia" w:ascii="宋体" w:hAnsi="宋体"/>
          <w:b w:val="0"/>
          <w:bCs/>
          <w:sz w:val="24"/>
          <w:szCs w:val="24"/>
          <w:highlight w:val="none"/>
          <w:lang w:val="en-US" w:eastAsia="zh-CN"/>
        </w:rPr>
        <w:t xml:space="preserve">最高</w:t>
      </w:r>
      <w:r>
        <w:rPr>
          <w:rFonts w:hint="default" w:ascii="宋体" w:hAnsi="宋体"/>
          <w:b w:val="0"/>
          <w:bCs/>
          <w:sz w:val="24"/>
          <w:szCs w:val="24"/>
          <w:highlight w:val="none"/>
          <w:lang w:val="en-US" w:eastAsia="zh-CN"/>
        </w:rPr>
        <w:t xml:space="preserve">3分，</w:t>
      </w:r>
      <w:r>
        <w:rPr>
          <w:rFonts w:hint="eastAsia" w:ascii="宋体" w:hAnsi="宋体"/>
          <w:b/>
          <w:sz w:val="24"/>
          <w:szCs w:val="24"/>
          <w:highlight w:val="none"/>
          <w:lang w:val="en-US" w:eastAsia="zh-CN"/>
        </w:rPr>
        <w:t xml:space="preserve">（</w:t>
      </w:r>
      <w:r>
        <w:rPr>
          <w:rFonts w:hint="default" w:ascii="宋体" w:hAnsi="宋体"/>
          <w:b/>
          <w:sz w:val="24"/>
          <w:szCs w:val="24"/>
          <w:highlight w:val="none"/>
          <w:lang w:val="en-US" w:eastAsia="zh-CN"/>
        </w:rPr>
        <w:t xml:space="preserve">投标文件中提供上述人员相关证书证明材料原件扫描件加盖</w:t>
      </w:r>
      <w:r>
        <w:rPr>
          <w:rFonts w:hint="eastAsia" w:ascii="宋体" w:hAnsi="宋体"/>
          <w:b/>
          <w:sz w:val="24"/>
          <w:szCs w:val="24"/>
          <w:highlight w:val="none"/>
          <w:lang w:val="en-US" w:eastAsia="zh-CN"/>
        </w:rPr>
        <w:t xml:space="preserve">电子</w:t>
      </w:r>
      <w:r>
        <w:rPr>
          <w:rFonts w:hint="default" w:ascii="宋体" w:hAnsi="宋体"/>
          <w:b/>
          <w:sz w:val="24"/>
          <w:szCs w:val="24"/>
          <w:highlight w:val="none"/>
          <w:lang w:val="en-US" w:eastAsia="zh-CN"/>
        </w:rPr>
        <w:t xml:space="preserve">公章</w:t>
      </w:r>
      <w:r>
        <w:rPr>
          <w:rFonts w:hint="eastAsia" w:ascii="宋体" w:hAnsi="宋体"/>
          <w:b/>
          <w:sz w:val="24"/>
          <w:szCs w:val="24"/>
          <w:highlight w:val="none"/>
          <w:lang w:val="en-US" w:eastAsia="zh-CN"/>
        </w:rPr>
        <w:t xml:space="preserve">上传至投标文件中</w:t>
      </w:r>
      <w:r>
        <w:rPr>
          <w:rFonts w:hint="default" w:ascii="宋体" w:hAnsi="宋体"/>
          <w:b/>
          <w:sz w:val="24"/>
          <w:szCs w:val="24"/>
          <w:highlight w:val="none"/>
          <w:lang w:val="en-US" w:eastAsia="zh-CN"/>
        </w:rPr>
        <w:t xml:space="preserve">，不提供或不满足不得分。</w:t>
      </w:r>
      <w:r>
        <w:rPr>
          <w:rFonts w:hint="eastAsia" w:ascii="宋体" w:hAnsi="宋体"/>
          <w:b/>
          <w:sz w:val="24"/>
          <w:szCs w:val="24"/>
          <w:highlight w:val="none"/>
          <w:lang w:val="en-US" w:eastAsia="zh-CN"/>
        </w:rPr>
        <w:t xml:space="preserve">）</w:t>
      </w:r>
      <w:r/>
    </w:p>
    <w:p>
      <w:pPr>
        <w:pStyle w:val="1226"/>
        <w:numPr>
          <w:ilvl w:val="0"/>
          <w:numId w:val="0"/>
        </w:numPr>
        <w:ind w:firstLine="482"/>
        <w:spacing w:line="360" w:lineRule="auto"/>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3、体系认证（3分）</w:t>
      </w:r>
      <w:r/>
    </w:p>
    <w:p>
      <w:pPr>
        <w:pStyle w:val="1226"/>
        <w:numPr>
          <w:ilvl w:val="0"/>
          <w:numId w:val="0"/>
        </w:numPr>
        <w:ind w:firstLine="480"/>
        <w:spacing w:line="360" w:lineRule="auto"/>
        <w:rPr>
          <w:rFonts w:hint="default" w:ascii="宋体" w:hAnsi="宋体"/>
          <w:b/>
          <w:bCs w:val="0"/>
          <w:sz w:val="24"/>
          <w:szCs w:val="24"/>
          <w:highlight w:val="none"/>
          <w:lang w:val="en-US" w:eastAsia="zh-CN"/>
        </w:rPr>
      </w:pPr>
      <w:r>
        <w:rPr>
          <w:rFonts w:hint="default" w:ascii="宋体" w:hAnsi="宋体"/>
          <w:b w:val="0"/>
          <w:bCs/>
          <w:sz w:val="24"/>
          <w:szCs w:val="24"/>
          <w:highlight w:val="none"/>
          <w:lang w:val="en-US" w:eastAsia="zh-CN"/>
        </w:rPr>
        <w:t xml:space="preserve">投标人或制造商具有质量管理体系认证、环境管理体系认证、职业健康管理体系认证的</w:t>
      </w:r>
      <w:r>
        <w:rPr>
          <w:rFonts w:hint="eastAsia" w:ascii="宋体" w:hAnsi="宋体"/>
          <w:b w:val="0"/>
          <w:bCs/>
          <w:sz w:val="24"/>
          <w:szCs w:val="24"/>
          <w:highlight w:val="none"/>
          <w:lang w:val="en-US" w:eastAsia="zh-CN"/>
        </w:rPr>
        <w:t xml:space="preserve">有一个得1分</w:t>
      </w:r>
      <w:r>
        <w:rPr>
          <w:rFonts w:hint="default" w:ascii="宋体" w:hAnsi="宋体"/>
          <w:b w:val="0"/>
          <w:bCs/>
          <w:sz w:val="24"/>
          <w:szCs w:val="24"/>
          <w:highlight w:val="none"/>
          <w:lang w:val="en-US" w:eastAsia="zh-CN"/>
        </w:rPr>
        <w:t xml:space="preserve">，最</w:t>
      </w:r>
      <w:r>
        <w:rPr>
          <w:rFonts w:hint="eastAsia" w:ascii="宋体" w:hAnsi="宋体"/>
          <w:b w:val="0"/>
          <w:bCs/>
          <w:sz w:val="24"/>
          <w:szCs w:val="24"/>
          <w:highlight w:val="none"/>
          <w:lang w:val="en-US" w:eastAsia="zh-CN"/>
        </w:rPr>
        <w:t xml:space="preserve">高</w:t>
      </w:r>
      <w:r>
        <w:rPr>
          <w:rFonts w:hint="default" w:ascii="宋体" w:hAnsi="宋体"/>
          <w:b w:val="0"/>
          <w:bCs/>
          <w:sz w:val="24"/>
          <w:szCs w:val="24"/>
          <w:highlight w:val="none"/>
          <w:lang w:val="en-US" w:eastAsia="zh-CN"/>
        </w:rPr>
        <w:t xml:space="preserve">3分</w:t>
      </w:r>
      <w:r>
        <w:rPr>
          <w:rFonts w:hint="eastAsia"/>
          <w:lang w:eastAsia="zh-CN"/>
        </w:rPr>
        <w:t xml:space="preserve">。</w:t>
      </w:r>
      <w:r>
        <w:rPr>
          <w:rFonts w:hint="eastAsia" w:ascii="宋体" w:hAnsi="宋体"/>
          <w:b/>
          <w:bCs w:val="0"/>
          <w:sz w:val="24"/>
          <w:szCs w:val="24"/>
          <w:highlight w:val="none"/>
          <w:lang w:val="en-US" w:eastAsia="zh-CN"/>
        </w:rPr>
        <w:t xml:space="preserve">（</w:t>
      </w:r>
      <w:r>
        <w:rPr>
          <w:rFonts w:hint="default" w:ascii="宋体" w:hAnsi="宋体"/>
          <w:b/>
          <w:bCs w:val="0"/>
          <w:sz w:val="24"/>
          <w:szCs w:val="24"/>
          <w:highlight w:val="none"/>
          <w:lang w:val="en-US" w:eastAsia="zh-CN"/>
        </w:rPr>
        <w:t xml:space="preserve">提供体系认证证书</w:t>
      </w:r>
      <w:r>
        <w:rPr>
          <w:rFonts w:hint="eastAsia" w:ascii="宋体" w:hAnsi="宋体"/>
          <w:b/>
          <w:bCs w:val="0"/>
          <w:sz w:val="24"/>
          <w:szCs w:val="24"/>
          <w:highlight w:val="none"/>
          <w:lang w:val="en-US" w:eastAsia="zh-CN"/>
        </w:rPr>
        <w:t xml:space="preserve">扫描件</w:t>
      </w:r>
      <w:r>
        <w:rPr>
          <w:rFonts w:hint="default" w:ascii="宋体" w:hAnsi="宋体"/>
          <w:b/>
          <w:bCs w:val="0"/>
          <w:sz w:val="24"/>
          <w:szCs w:val="24"/>
          <w:highlight w:val="none"/>
          <w:lang w:val="en-US" w:eastAsia="zh-CN"/>
        </w:rPr>
        <w:t xml:space="preserve">及全国认证认可平台查询截图</w:t>
      </w:r>
      <w:r>
        <w:rPr>
          <w:rFonts w:hint="eastAsia" w:ascii="宋体" w:hAnsi="宋体"/>
          <w:b/>
          <w:bCs w:val="0"/>
          <w:sz w:val="24"/>
          <w:szCs w:val="24"/>
          <w:highlight w:val="none"/>
          <w:lang w:val="en-US" w:eastAsia="zh-CN"/>
        </w:rPr>
        <w:t xml:space="preserve">并</w:t>
      </w:r>
      <w:r>
        <w:rPr>
          <w:rFonts w:hint="default" w:ascii="宋体" w:hAnsi="宋体"/>
          <w:b/>
          <w:sz w:val="24"/>
          <w:szCs w:val="24"/>
          <w:highlight w:val="none"/>
          <w:lang w:val="en-US" w:eastAsia="zh-CN"/>
        </w:rPr>
        <w:t xml:space="preserve">加盖</w:t>
      </w:r>
      <w:r>
        <w:rPr>
          <w:rFonts w:hint="eastAsia" w:ascii="宋体" w:hAnsi="宋体"/>
          <w:b/>
          <w:sz w:val="24"/>
          <w:szCs w:val="24"/>
          <w:highlight w:val="none"/>
          <w:lang w:val="en-US" w:eastAsia="zh-CN"/>
        </w:rPr>
        <w:t xml:space="preserve">电子</w:t>
      </w:r>
      <w:r>
        <w:rPr>
          <w:rFonts w:hint="default" w:ascii="宋体" w:hAnsi="宋体"/>
          <w:b/>
          <w:sz w:val="24"/>
          <w:szCs w:val="24"/>
          <w:highlight w:val="none"/>
          <w:lang w:val="en-US" w:eastAsia="zh-CN"/>
        </w:rPr>
        <w:t xml:space="preserve">公章</w:t>
      </w:r>
      <w:r>
        <w:rPr>
          <w:rFonts w:hint="eastAsia" w:ascii="宋体" w:hAnsi="宋体"/>
          <w:b/>
          <w:sz w:val="24"/>
          <w:szCs w:val="24"/>
          <w:highlight w:val="none"/>
          <w:lang w:val="en-US" w:eastAsia="zh-CN"/>
        </w:rPr>
        <w:t xml:space="preserve">上传至投标文件中</w:t>
      </w:r>
      <w:r>
        <w:rPr>
          <w:rFonts w:hint="default" w:ascii="宋体" w:hAnsi="宋体"/>
          <w:b/>
          <w:sz w:val="24"/>
          <w:szCs w:val="24"/>
          <w:highlight w:val="none"/>
          <w:lang w:val="en-US" w:eastAsia="zh-CN"/>
        </w:rPr>
        <w:t xml:space="preserve">，不提供或不满足不得分</w:t>
      </w:r>
      <w:r>
        <w:rPr>
          <w:rFonts w:hint="default" w:ascii="宋体" w:hAnsi="宋体"/>
          <w:b/>
          <w:bCs w:val="0"/>
          <w:sz w:val="24"/>
          <w:szCs w:val="24"/>
          <w:highlight w:val="none"/>
          <w:lang w:val="en-US" w:eastAsia="zh-CN"/>
        </w:rPr>
        <w:t xml:space="preserve">。</w:t>
      </w:r>
      <w:r>
        <w:rPr>
          <w:rFonts w:hint="eastAsia" w:ascii="宋体" w:hAnsi="宋体"/>
          <w:b/>
          <w:bCs w:val="0"/>
          <w:sz w:val="24"/>
          <w:szCs w:val="24"/>
          <w:highlight w:val="none"/>
          <w:lang w:val="en-US" w:eastAsia="zh-CN"/>
        </w:rPr>
        <w:t xml:space="preserve">）</w:t>
      </w:r>
      <w:r/>
    </w:p>
    <w:p>
      <w:pPr>
        <w:pStyle w:val="1226"/>
        <w:numPr>
          <w:ilvl w:val="0"/>
          <w:numId w:val="12"/>
        </w:numPr>
        <w:spacing w:line="360" w:lineRule="auto"/>
        <w:rPr>
          <w:rFonts w:hint="eastAsia" w:ascii="宋体" w:hAnsi="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产品性能及技术要求</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15分</w:t>
      </w:r>
      <w:r>
        <w:rPr>
          <w:rFonts w:hint="eastAsia" w:ascii="宋体" w:hAnsi="宋体" w:cs="宋体"/>
          <w:b/>
          <w:bCs w:val="0"/>
          <w:color w:val="auto"/>
          <w:sz w:val="24"/>
          <w:szCs w:val="24"/>
          <w:highlight w:val="none"/>
          <w:lang w:eastAsia="zh-CN"/>
        </w:rPr>
        <w:t xml:space="preserve">）</w:t>
      </w:r>
      <w:r/>
    </w:p>
    <w:p>
      <w:pPr>
        <w:pStyle w:val="1226"/>
        <w:numPr>
          <w:ilvl w:val="0"/>
          <w:numId w:val="12"/>
        </w:numPr>
        <w:spacing w:line="360" w:lineRule="auto"/>
        <w:rPr>
          <w:rFonts w:hint="eastAsia" w:ascii="宋体" w:hAnsi="宋体" w:cs="宋体"/>
          <w:b/>
          <w:bCs w:val="0"/>
          <w:color w:val="auto"/>
          <w:sz w:val="24"/>
          <w:szCs w:val="24"/>
          <w:highlight w:val="green"/>
          <w:lang w:eastAsia="zh-CN"/>
        </w:rPr>
        <w:sectPr>
          <w:headerReference w:type="default" r:id="rId12"/>
          <w:headerReference w:type="first" r:id="rId13"/>
          <w:footerReference w:type="default" r:id="rId22"/>
          <w:footerReference w:type="first" r:id="rId23"/>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cs="宋体"/>
          <w:b/>
          <w:bCs w:val="0"/>
          <w:color w:val="auto"/>
          <w:sz w:val="24"/>
          <w:szCs w:val="24"/>
          <w:highlight w:val="green"/>
          <w:lang w:eastAsia="zh-CN"/>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人需出具按要求提供原件扫描件上传至系统中并加盖电子公章，检测报告必须清晰、完整（含封底和封面），检测报告不完整的视为无效，受检单位须为投标人或所投产品制造商，每份检测报告满足该项要求的，得分项目参数必须在《投标偏离表》实报内容中填写并注明为正偏离，未按要求提供证明材料和不按要求填写的，不得分，满分15分。</w:t>
      </w:r>
      <w:r/>
    </w:p>
    <w:p>
      <w:pPr>
        <w:pStyle w:val="1226"/>
        <w:numPr>
          <w:ilvl w:val="0"/>
          <w:numId w:val="0"/>
        </w:numPr>
        <w:spacing w:line="360" w:lineRule="auto"/>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r>
      <w:r/>
    </w:p>
    <w:tbl>
      <w:tblPr>
        <w:tblStyle w:val="1194"/>
        <w:tblW w:w="13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478"/>
        <w:gridCol w:w="4891"/>
        <w:gridCol w:w="4891"/>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47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采购需求的参数要求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7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优于技术基础要求的评审内容</w:t>
            </w:r>
            <w:r/>
          </w:p>
        </w:tc>
      </w:tr>
      <w:tr>
        <w:trPr>
          <w:trHeight w:val="660"/>
        </w:trPr>
        <w:tc>
          <w:tcPr>
            <w:gridSpan w:val="3"/>
            <w:shd w:val="clear" w:color="auto" w:fill="auto"/>
            <w:tcBorders>
              <w:top w:val="single" w:color="000000" w:sz="4" w:space="0"/>
              <w:left w:val="single" w:color="000000" w:sz="4" w:space="0"/>
              <w:bottom w:val="single" w:color="000000" w:sz="4" w:space="0"/>
              <w:right w:val="single" w:color="000000" w:sz="4" w:space="0"/>
            </w:tcBorders>
            <w:tcW w:w="132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所投炊用燃气大锅灶（双头）参照 GB35848-2024《商用燃气燃烧器具》检测，核心配件商用燃气燃烧器具用控制器参照GB/T38603-2020检测</w:t>
            </w:r>
            <w:r/>
          </w:p>
        </w:tc>
      </w:tr>
      <w:tr>
        <w:trPr>
          <w:trHeight w:val="3240"/>
        </w:trPr>
        <w:tc>
          <w:tcPr>
            <w:shd w:val="clear" w:color="auto" w:fill="auto"/>
            <w:tcBorders>
              <w:top w:val="none" w:color="000000" w:sz="4" w:space="0"/>
              <w:left w:val="single" w:color="000000" w:sz="4" w:space="0"/>
              <w:bottom w:val="none" w:color="000000" w:sz="4" w:space="0"/>
              <w:right w:val="single" w:color="000000" w:sz="4" w:space="0"/>
            </w:tcBorders>
            <w:tcW w:w="34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负荷准确度双头偏差不大于10%，运行噪声双头均≤80dB(A),能源合理利用率双头均≥45%；核心配件商用燃气燃烧器具用控制器：耐热应力后（环境温度），中途清扫时间≤10S、前清扫时间≥10S、后清扫时间≥60S，额定电压暂降30%；预清扫或等候时间、点火安全时间和熄火安全时间、运行状态持续周期≥1，运行次数3次，能正常工作</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负荷准确度双头偏差不大于9%，运行噪声双头均≤70dB(A)，能源合理利用率双头均≥65%；核心配件商用燃气燃烧器具用控制器：耐热应力后（环境温度、70℃），中途清扫时间≤10S、前清扫时间≥10S、后清扫时间≥60S，额定电压暂降30%；预清扫或等候时间、点火安全时间和熄火安全时间、运行状态持续周期≥2，运行次数3次，能正常工作加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评审依据：提供带CMA标识的有效检测报告复印件及全国认证认可平台查询截图佐证，不提供、不满足或检测标准不在CMA认证范围内的不加分。</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热负荷准确度双头偏差不大于7%，运行噪声双头均≤65dB(A),能源合理利用率双</w:t>
            </w:r>
            <w:r>
              <w:rPr>
                <w:rFonts w:hint="eastAsia" w:ascii="宋体" w:hAnsi="宋体" w:eastAsia="宋体" w:cs="宋体"/>
                <w:i w:val="0"/>
                <w:iCs w:val="0"/>
                <w:color w:val="000000"/>
                <w:sz w:val="22"/>
                <w:szCs w:val="22"/>
                <w:highlight w:val="none"/>
                <w:u w:val="none"/>
                <w:lang w:val="en-US" w:eastAsia="zh-CN" w:bidi="ar"/>
              </w:rPr>
              <w:t xml:space="preserve">头均≥75%；核心配件商用燃气燃烧器具用控制器：耐热应力后（环境温度、-10℃、70℃），中途清扫时间≤10S、前清扫时间≥10S、后清扫时间≥60S，额定电压暂降30%；预清扫或等候时间、点火安全时间和熄火安全时间、运行状态持续周期≥2.5，运行次数3次，能正常工作加3分</w:t>
            </w:r>
            <w:r>
              <w:rPr>
                <w:rFonts w:hint="eastAsia" w:ascii="宋体" w:hAnsi="宋体" w:eastAsia="宋体" w:cs="宋体"/>
                <w:i w:val="0"/>
                <w:iCs w:val="0"/>
                <w:color w:val="000000"/>
                <w:sz w:val="22"/>
                <w:szCs w:val="22"/>
                <w:highlight w:val="yellow"/>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评审依据：提供带CMA标识的有效检测报告复印件及全国认证认可平台查询截图佐证，不提供、不满足或检测标准不在CMA认证范围内的不加分。</w:t>
            </w:r>
            <w:r/>
          </w:p>
        </w:tc>
      </w:tr>
      <w:tr>
        <w:trPr>
          <w:trHeight w:val="960"/>
        </w:trPr>
        <w:tc>
          <w:tcPr>
            <w:gridSpan w:val="3"/>
            <w:shd w:val="clear" w:color="auto" w:fill="auto"/>
            <w:tcBorders>
              <w:top w:val="single" w:color="000000" w:sz="4" w:space="0"/>
              <w:left w:val="single" w:color="000000" w:sz="4" w:space="0"/>
              <w:bottom w:val="single" w:color="000000" w:sz="4" w:space="0"/>
              <w:right w:val="single" w:color="000000" w:sz="4" w:space="0"/>
            </w:tcBorders>
            <w:tcW w:w="132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所投燃气摇摆汤锅参照 GB35848-2024《商用燃气燃烧器具》检测，核心配件燃气燃烧器具用自动截止阀参照</w:t>
            </w:r>
            <w:r>
              <w:rPr>
                <w:rFonts w:hint="eastAsia" w:ascii="宋体" w:hAnsi="宋体" w:eastAsia="宋体" w:cs="宋体"/>
                <w:i w:val="0"/>
                <w:iCs w:val="0"/>
                <w:color w:val="auto"/>
                <w:sz w:val="22"/>
                <w:szCs w:val="22"/>
                <w:u w:val="none"/>
                <w:lang w:val="en-US" w:eastAsia="zh-CN" w:bidi="ar"/>
              </w:rPr>
              <w:t xml:space="preserve">GB/T37499-2019</w:t>
            </w:r>
            <w:r>
              <w:rPr>
                <w:rFonts w:hint="eastAsia" w:ascii="宋体" w:hAnsi="宋体" w:eastAsia="宋体" w:cs="宋体"/>
                <w:i w:val="0"/>
                <w:iCs w:val="0"/>
                <w:color w:val="000000"/>
                <w:sz w:val="22"/>
                <w:szCs w:val="22"/>
                <w:u w:val="none"/>
                <w:lang w:val="en-US" w:eastAsia="zh-CN" w:bidi="ar"/>
              </w:rPr>
              <w:t xml:space="preserve">标准检测</w:t>
            </w:r>
            <w:r/>
          </w:p>
        </w:tc>
      </w:tr>
      <w:tr>
        <w:trPr>
          <w:trHeight w:val="2700"/>
        </w:trPr>
        <w:tc>
          <w:tcPr>
            <w:shd w:val="clear" w:color="auto" w:fill="auto"/>
            <w:tcBorders>
              <w:top w:val="none" w:color="000000" w:sz="4" w:space="0"/>
              <w:left w:val="single" w:color="000000" w:sz="4" w:space="0"/>
              <w:bottom w:val="none" w:color="000000" w:sz="4" w:space="0"/>
              <w:right w:val="single" w:color="000000" w:sz="4" w:space="0"/>
            </w:tcBorders>
            <w:tcW w:w="34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热负荷准确度偏差不大于10%，运行噪声≤80dB(A),干烟气中CO(a=1)%≤0.1，特殊工况下CO(a=1)含量%黄焰燃烧≤0.2，脱火燃烧≤0.2，能源合理利用率≥50%；核心配件燃气燃烧器具用自动截止阀额定流量≥0.95倍</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热负荷准确度偏差不大于8%，运行噪声≤70dB(A),干烟气中CO(a=1)%≤0.05，特殊工况下CO(a=1)含量%黄焰燃烧≤0.05，脱火燃烧≤0.05，能源合理利用率≥55%；核心配件燃气燃烧器具用自动截止阀额定流量≥0.96倍的加1分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评审依据：提供带CMA标识的有效检测报告复印件及全国认证认可平台查询截图佐证，不提供、不满足或检测标准不在CMA认证范围内的不加分。</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热负荷准确度偏差不大于7%，运行噪声≤65dB(A),干烟气中CO(a=1)%≤0.015，特殊工况下CO(a=1)含量%黄焰燃烧≤0.02，脱火燃烧≤0.02，能源合理利用率≥65%；核心配件燃气燃烧器具用自动截止阀额定流量≥0.97倍的加3分，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评审依据：提供带CMA标识的有效检测报告复印件及全国认证认可平台查询截图佐证，不提供、不满足或检测标准不在CMA认证范围内的不加分。</w:t>
            </w:r>
            <w:r/>
          </w:p>
        </w:tc>
      </w:tr>
      <w:tr>
        <w:trPr>
          <w:trHeight w:val="1280"/>
        </w:trPr>
        <w:tc>
          <w:tcPr>
            <w:gridSpan w:val="3"/>
            <w:shd w:val="clear" w:color="auto" w:fill="auto"/>
            <w:tcBorders>
              <w:top w:val="single" w:color="000000" w:sz="4" w:space="0"/>
              <w:left w:val="single" w:color="000000" w:sz="4" w:space="0"/>
              <w:bottom w:val="single" w:color="000000" w:sz="4" w:space="0"/>
              <w:right w:val="single" w:color="000000" w:sz="4" w:space="0"/>
            </w:tcBorders>
            <w:tcW w:w="132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投炊用燃气大锅灶（双头）、燃气摇摆汤锅整机参照GB/T25000.51-2016《系统与软件工程系统与软件质量要求和评价》标准检测，具有设备使用信息可传送、蓝牙功能、燃气泄漏模块、风机功率调节及转速显示、故障代码提示、火力功率调节及火力显示、火焰检测、节能功能、WIFI远程功能、防干烧功能、流量统计等有效功能</w:t>
            </w:r>
            <w:r/>
          </w:p>
        </w:tc>
      </w:tr>
      <w:tr>
        <w:trPr>
          <w:trHeight w:val="1350"/>
        </w:trPr>
        <w:tc>
          <w:tcPr>
            <w:shd w:val="clear" w:color="auto" w:fill="auto"/>
            <w:tcBorders>
              <w:top w:val="none" w:color="000000" w:sz="4" w:space="0"/>
              <w:left w:val="single" w:color="000000" w:sz="4" w:space="0"/>
              <w:bottom w:val="none" w:color="000000" w:sz="4" w:space="0"/>
              <w:right w:val="single" w:color="000000" w:sz="4" w:space="0"/>
            </w:tcBorders>
            <w:tcW w:w="347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有效功能2项</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有效功能3项的加1分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评审依据：提供带CMA标识的有效检测报告复印件及全国认证认可平台查询截图佐证，不提供、不满足或检测标准不在CMA认证范围内的不加分。</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有效功能＞3项的加2分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评审依据：提供带CMA标识的有效检测报告复印件及全国认证认可平台查询截图佐证，不提供、不满足或检测标准不在CMA认证范围内的不加分。</w:t>
            </w:r>
            <w:r/>
          </w:p>
        </w:tc>
      </w:tr>
      <w:tr>
        <w:trPr>
          <w:trHeight w:val="860"/>
        </w:trPr>
        <w:tc>
          <w:tcPr>
            <w:gridSpan w:val="3"/>
            <w:shd w:val="clear" w:color="auto" w:fill="auto"/>
            <w:tcBorders>
              <w:top w:val="single" w:color="000000" w:sz="4" w:space="0"/>
              <w:left w:val="single" w:color="000000" w:sz="4" w:space="0"/>
              <w:bottom w:val="single" w:color="000000" w:sz="4" w:space="0"/>
              <w:right w:val="single" w:color="000000" w:sz="4" w:space="0"/>
            </w:tcBorders>
            <w:tcW w:w="132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所投长龙洗碗机参照GB/T17626.2-2018、GB/T4343.2-2020、GB/T17626.3-2023、GB4343.1-2024、GB/T17626.4-2018、GB/T17626.5-2019、GB/T17799.1-2017标准检测</w:t>
            </w:r>
            <w:r/>
          </w:p>
        </w:tc>
      </w:tr>
      <w:tr>
        <w:trPr>
          <w:trHeight w:val="6480"/>
        </w:trPr>
        <w:tc>
          <w:tcPr>
            <w:shd w:val="clear" w:color="auto" w:fill="auto"/>
            <w:tcBorders>
              <w:top w:val="none" w:color="000000" w:sz="4" w:space="0"/>
              <w:left w:val="single" w:color="000000" w:sz="4" w:space="0"/>
              <w:bottom w:val="none" w:color="000000" w:sz="4" w:space="0"/>
              <w:right w:val="single" w:color="000000" w:sz="4" w:space="0"/>
            </w:tcBorders>
            <w:tcW w:w="34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断续骚扰电压试验：短、中、长喀呖声数（150KHZ、500KHZ、1.4MHZ、30MHZ），2秒钟内产生2个喀呖声；静电放电抗扰度试验：（接触放电，放电电压±4KV，实验结果为C级，垂直耦合板的间接放电，放电电压±4KV，实验结果为C级，空气放电，放电电压±8KV，实验结果为C级）；</w:t>
            </w:r>
            <w:r>
              <w:rPr>
                <w:rFonts w:hint="eastAsia" w:ascii="宋体" w:hAnsi="宋体" w:eastAsia="宋体" w:cs="宋体"/>
                <w:i w:val="0"/>
                <w:iCs w:val="0"/>
                <w:color w:val="000000"/>
                <w:sz w:val="22"/>
                <w:szCs w:val="22"/>
                <w:u w:val="none"/>
                <w:lang w:val="en-US" w:eastAsia="zh-CN" w:bidi="ar"/>
              </w:rPr>
              <w:t xml:space="preserve">电快速瞬变脉冲群抗扰度试验：交流电源的输入端，耦合电压±1KV，脉冲重复频率5KHZ，试验结果为C；浪涌抗扰度试验；交流电源输入端（L1-L2）线、交流电源输入端（L1-L3）线、交流电源输入端（L2-L3）线、交流电源输入端（L1-N）线，耦合电压±1KV，试验结果（0°、90°、180°、270°）为C；射频电磁场辐射抗扰度试验；水平、垂直施加EUT方向（0°、90°、180°、270°），试验等级3V/m，频率范围1.4GHZ-2GHZ,调试方式1KHZ AM80%正弦波，驻留时间3S，试验结果为C </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断续骚扰电压试验：短、中、长喀呖声数（150KHZ、500KHZ、1.4MHZ、30MHZ），2秒钟内产生1个喀呖声；静电放电抗扰度试验：（接触放电，放电电压±4KV，实验结果为B级，垂直耦合板的间接放电，放电电压±4KV，实验结果为B级，空气放电，放电电压±8KV，实验结果为B级）；电快速瞬变脉冲群抗扰</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度试验：交流电源的输入端，耦合电压±1KV，脉冲重复频率5KHZ，试验结果为B；浪涌抗扰度试验；交流电源输入端（L1-L2）线、交流电源输入端（L1-L3）线、交流电源输入端（L2-L3）线、交流电源输入端（L1-N）线，耦合电压±1KV，试验结果（0°、90°、180°、270°）为B；射频电磁场辐射抗扰度试验；水平、垂直施加EUT方向（0°、90°、180°、270°），试验等级3V/m，频率范围1.4GHZ-2GHZ,调试方式1KHZ AM80%正弦波，驻留时间3S，试验结果为B,以上全部满足的加1分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评审依据：提供带CMA标识的有效检测报告复印件及全国认证认可平台查询截图佐证，不提供、不满足或检测标准不在CMA认证范围内的不加分。</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断续骚扰电压试验：短、中、长喀呖声数（150KHZ、500KHZ、1.4MHZ、30MHZ），2秒钟内产生0个喀呖声；</w:t>
            </w:r>
            <w:r/>
          </w:p>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静电放电抗扰度试验：（接触放电，放电电压±4KV，实验结果为A级，垂直耦合板的间接放电，放电电压±4KV，实验结果为A级，空气放电，放电电压±8KV，实验结果为A级）；</w:t>
            </w:r>
            <w:r/>
          </w:p>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电快速瞬变脉冲群抗扰度试验：交流电源的输入端，耦合电压±1KV，脉冲重复频率5KHZ，试验结果为A；</w:t>
            </w:r>
            <w:r/>
          </w:p>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浪涌抗扰度试验；交流电源输入端（L1-L2）线、交流电源输入端（L1-L3）线、交流电源输入端（L2-L3）线、交流电源输入端（L1-N）线，耦合电压±1KV，试验结果（0°、90°、180°、270°）为A；</w:t>
            </w:r>
            <w:r/>
          </w:p>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射频电磁场辐射抗扰度试验；水平、垂直施加EUT方向（0°、90°、180°、270°），试验等级3V/m，频率范围1.4GHZ-2GHZ,调试方式1KHZ AM80%正弦波，驻留时间3S，试验结果为A,以上全部满足的加3分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评审依据：提供带CMA标识的有效检测报告复印件及全国认证认可平台查询截图佐证，不提供、不满足或检测标准不在CMA认证范围内的不加分。</w:t>
            </w:r>
            <w:r/>
          </w:p>
        </w:tc>
      </w:tr>
      <w:tr>
        <w:trPr>
          <w:trHeight w:val="680"/>
        </w:trPr>
        <w:tc>
          <w:tcPr>
            <w:gridSpan w:val="3"/>
            <w:shd w:val="clear" w:color="auto" w:fill="auto"/>
            <w:tcBorders>
              <w:top w:val="single" w:color="000000" w:sz="4" w:space="0"/>
              <w:left w:val="single" w:color="000000" w:sz="4" w:space="0"/>
              <w:bottom w:val="none" w:color="000000" w:sz="4" w:space="0"/>
              <w:right w:val="single" w:color="000000" w:sz="4" w:space="0"/>
            </w:tcBorders>
            <w:tcW w:w="132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所投油烟净化一体机整机参照GB4706.1-2005、GB4706.95-2008标准检测，油烟净化一体机操作系统参照GB/T 25000.51-2016检测；</w:t>
            </w:r>
            <w:r/>
          </w:p>
        </w:tc>
      </w:tr>
      <w:tr>
        <w:trPr>
          <w:trHeight w:val="2430"/>
        </w:trPr>
        <w:tc>
          <w:tcPr>
            <w:shd w:val="clear" w:color="auto" w:fill="auto"/>
            <w:tcBorders>
              <w:top w:val="none" w:color="000000" w:sz="4" w:space="0"/>
              <w:left w:val="single" w:color="000000" w:sz="4" w:space="0"/>
              <w:bottom w:val="none" w:color="000000" w:sz="4" w:space="0"/>
              <w:right w:val="single" w:color="000000" w:sz="4" w:space="0"/>
            </w:tcBorders>
            <w:tcW w:w="347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在规定的低电阻试验中，电阻值≤ 0.1Ω，考虑到额定脉冲电压，基本绝缘的电气间隙应承受正常使用中出现的过压≥1.5mm；用户文档完整详细，信息表述正确，与软件功能一致，易理解，可操作，且具有故障原因显示、室内空气检测、燃气泄漏报警联动、联动控制≥10 台产品、设备共享等功能。</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在规定的低电阻试验中，电阻值≤ 0.08Ω，考虑到额定脉冲电压，基本绝缘的电气间隙应承受正常使用中出现的过压≥2mm；联动控制≥20台产品的加0.5分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评审依据：提供带CMA标识的有效检测报告复印件及全国认证认可平台查询截图佐证，不提供、不满足或检测标准不在CMA认证范围内的不加分。</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在规定的低电阻试验中，电阻值≤ 0.04Ω，考虑到额定脉冲电压，基本绝缘的电气间隙应承受正常使用中出现的过压≥3mm；联动控制≥30台产品的加1分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评审依据：提供带CMA标识的有效检测报告复印件及全国认证认可平台查询截图佐证，不提供、不满足或检测标准不在CMA认证范围内的不加分。</w:t>
            </w:r>
            <w:r/>
          </w:p>
        </w:tc>
      </w:tr>
      <w:tr>
        <w:trPr>
          <w:trHeight w:val="660"/>
        </w:trPr>
        <w:tc>
          <w:tcPr>
            <w:gridSpan w:val="3"/>
            <w:shd w:val="clear" w:color="auto" w:fill="auto"/>
            <w:tcBorders>
              <w:top w:val="single" w:color="000000" w:sz="4" w:space="0"/>
              <w:left w:val="single" w:color="000000" w:sz="4" w:space="0"/>
              <w:bottom w:val="single" w:color="000000" w:sz="4" w:space="0"/>
              <w:right w:val="single" w:color="000000" w:sz="4" w:space="0"/>
            </w:tcBorders>
            <w:tcW w:w="132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所投油烟净化一体机整机参照GB/T3482-2008、GB8624-2012、标准检测，重要部件绝缘子参照GB/T 2423.2-2008标准检测</w:t>
            </w:r>
            <w:r/>
          </w:p>
        </w:tc>
      </w:tr>
      <w:tr>
        <w:trPr>
          <w:trHeight w:val="2970"/>
        </w:trPr>
        <w:tc>
          <w:tcPr>
            <w:shd w:val="clear" w:color="auto" w:fill="auto"/>
            <w:tcBorders>
              <w:top w:val="none" w:color="000000" w:sz="4" w:space="0"/>
              <w:left w:val="single" w:color="000000" w:sz="4" w:space="0"/>
              <w:bottom w:val="none" w:color="000000" w:sz="4" w:space="0"/>
              <w:right w:val="single" w:color="000000" w:sz="4" w:space="0"/>
            </w:tcBorders>
            <w:tcW w:w="34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严酷等级≥4级，雷击试验后，设备正常工作；燃烧性能等级达到B2级；重要部件绝缘子将试验样品放入温度为试验室温度的试验箱中,然后将温度调节≥150°C，温度稳定后持续 ≥12小时，试验结束后取出样品恢复 4 小时后观察，陶瓷无溶解、破裂。试验后样品经≥15kV高压试验1min 内无击穿现象</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严酷等级＞5级；燃烧性能等级达到B1级；重要部件绝缘子将试验样品放入温度为试验室温度的试验箱中,然后将温度调节≥150°C，温度稳定后持续 ≥24小时，试验结束后取出样品恢复 4 小时后观察，陶瓷无溶解、破裂。试验后样品经≥15kV高压试验1min 内无击穿现象的加0.5分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评审依据：提供带CMA标识的有效检测报告复印件及全国认证认可平台查询截图佐证，不提供、不满足或检测标准不在CMA认证范围内的不加分。</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严酷等级＞6级；燃烧性能等级达到A（A1）级；重要部件绝缘子将试验样品放入温度为试验室温度的试验箱中,然后将温度调节≥150°C，温度稳定后持续 ≥48小时，试验结束后取出样品恢复 4 小时后观察，陶瓷无溶解、破裂。试验后样品经≥15kV高压试验1min 内无击穿现象的加1分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评审依据：提供带CMA标识的有效检测报告复印件及全国认证认可平台查询截图佐证，不提供、不满足或检测标准不在CMA认证范围内的不加分。</w:t>
            </w:r>
            <w:r/>
          </w:p>
        </w:tc>
      </w:tr>
      <w:tr>
        <w:trPr>
          <w:trHeight w:val="1120"/>
        </w:trPr>
        <w:tc>
          <w:tcPr>
            <w:gridSpan w:val="3"/>
            <w:shd w:val="clear" w:color="auto" w:fill="auto"/>
            <w:tcBorders>
              <w:top w:val="single" w:color="000000" w:sz="4" w:space="0"/>
              <w:left w:val="single" w:color="000000" w:sz="4" w:space="0"/>
              <w:bottom w:val="single" w:color="000000" w:sz="4" w:space="0"/>
              <w:right w:val="single" w:color="000000" w:sz="4" w:space="0"/>
            </w:tcBorders>
            <w:tcW w:w="132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所投低噪音高压柜式风机、后倾式高压柜式风机整机参照GB/T2651-2023，GB/T2652-2022，GB/T2653-2008，GB/T2650-2022，GB/T26955-2011标准检测，</w:t>
            </w:r>
            <w:r>
              <w:rPr>
                <w:rFonts w:hint="eastAsia"/>
                <w:color w:val="000000" w:themeColor="text1"/>
                <w:lang w:val="en-US" w:eastAsia="zh-CN"/>
                <w14:textFill>
                  <w14:solidFill>
                    <w14:schemeClr w14:val="tx1"/>
                  </w14:solidFill>
                </w14:textFill>
              </w:rPr>
              <w:t xml:space="preserve">整机参照GB4706.1-2005、GB/T17626.2-2018及GB/T18313-2001标准认证</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w:t>
            </w:r>
            <w:r/>
          </w:p>
        </w:tc>
      </w:tr>
      <w:tr>
        <w:trPr>
          <w:trHeight w:val="2160"/>
        </w:trPr>
        <w:tc>
          <w:tcPr>
            <w:shd w:val="clear" w:color="auto" w:fill="auto"/>
            <w:tcBorders>
              <w:top w:val="none" w:color="000000" w:sz="4" w:space="0"/>
              <w:left w:val="single" w:color="000000" w:sz="4" w:space="0"/>
              <w:bottom w:val="none" w:color="000000" w:sz="4" w:space="0"/>
              <w:right w:val="single" w:color="000000" w:sz="4" w:space="0"/>
            </w:tcBorders>
            <w:tcW w:w="34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抗拉强度≥350Mpa，断后伸长率≥20%，弯曲角度≥140°，冲击吸收能量平均值≥60KV2/J，未发现有未焊透、未融合等缺陷。</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 xml:space="preserve">抗拉强度≥400Mpa，断后伸长率≥23%，弯曲角度≥160°，冲击吸收能量平均值≥65KV2/J，未发现有未焊透、未融合、裂纹、气孔等缺陷，及产品具有安全与电磁兼容产品认证和低噪音产品认证的加0.5分</w:t>
            </w: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br/>
            </w:r>
            <w:r>
              <w:rPr>
                <w:rFonts w:hint="eastAsia" w:ascii="宋体" w:hAnsi="宋体" w:eastAsia="宋体" w:cs="宋体"/>
                <w:b/>
                <w:bCs/>
                <w:i w:val="0"/>
                <w:iCs w:val="0"/>
                <w:color w:val="000000" w:themeColor="text1"/>
                <w:sz w:val="22"/>
                <w:szCs w:val="22"/>
                <w:u w:val="none"/>
                <w:lang w:val="en-US" w:eastAsia="zh-CN"/>
                <w14:textFill>
                  <w14:solidFill>
                    <w14:schemeClr w14:val="tx1"/>
                  </w14:solidFill>
                </w14:textFill>
              </w:rPr>
              <w:t xml:space="preserve">评审依据：提供带CMA标识的有效检测报告、证书复印件及全国认证认可平台查询截图佐证，不提供、不满足或检测标准不在CMA认证范围内的不加分</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 xml:space="preserve">抗拉强度≥450Mpa，断后伸长率≥25%，弯曲角度≥170°，冲击吸收能量平均值≥70KV2/J，未发现有未焊透、未融合、裂纹、气孔等缺陷，及产品具有安全与电磁兼容产品认证和低噪音产品认证的加1分</w:t>
            </w: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br/>
            </w:r>
            <w:r>
              <w:rPr>
                <w:rFonts w:hint="eastAsia" w:ascii="宋体" w:hAnsi="宋体" w:eastAsia="宋体" w:cs="宋体"/>
                <w:b/>
                <w:bCs/>
                <w:i w:val="0"/>
                <w:iCs w:val="0"/>
                <w:color w:val="000000" w:themeColor="text1"/>
                <w:sz w:val="22"/>
                <w:szCs w:val="22"/>
                <w:u w:val="none"/>
                <w:lang w:val="en-US" w:eastAsia="zh-CN"/>
                <w14:textFill>
                  <w14:solidFill>
                    <w14:schemeClr w14:val="tx1"/>
                  </w14:solidFill>
                </w14:textFill>
              </w:rPr>
              <w:t xml:space="preserve">评审依据：提供带CMA标识的有效检测报告、证书复印件及全国认证认可平台查询截图佐证，不提供、不满足或检测标准不在CMA认证范围内的不加分。</w:t>
            </w:r>
            <w:r/>
          </w:p>
        </w:tc>
      </w:tr>
      <w:tr>
        <w:trPr>
          <w:trHeight w:val="980"/>
        </w:trPr>
        <w:tc>
          <w:tcPr>
            <w:gridSpan w:val="3"/>
            <w:shd w:val="clear" w:color="auto" w:fill="auto"/>
            <w:tcBorders>
              <w:top w:val="single" w:color="000000" w:sz="4" w:space="0"/>
              <w:left w:val="single" w:color="000000" w:sz="4" w:space="0"/>
              <w:bottom w:val="single" w:color="000000" w:sz="4" w:space="0"/>
              <w:right w:val="single" w:color="000000" w:sz="4" w:space="0"/>
            </w:tcBorders>
            <w:tcW w:w="132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所投低空油烟净化器整机参照GB/T2651-2023，GB/T2652-2022，GB/T2653-2008，GB/T2650-2022标准检测：整机参照GB4706.1-2005、GB/T17626.2-2018及GB/T18313-2001标准认证</w:t>
            </w:r>
            <w:r/>
          </w:p>
        </w:tc>
      </w:tr>
      <w:tr>
        <w:trPr>
          <w:trHeight w:val="2160"/>
        </w:trPr>
        <w:tc>
          <w:tcPr>
            <w:shd w:val="clear" w:color="auto" w:fill="auto"/>
            <w:tcBorders>
              <w:top w:val="none" w:color="000000" w:sz="4" w:space="0"/>
              <w:left w:val="single" w:color="000000" w:sz="4" w:space="0"/>
              <w:bottom w:val="none" w:color="000000" w:sz="4" w:space="0"/>
              <w:right w:val="single" w:color="000000" w:sz="4" w:space="0"/>
            </w:tcBorders>
            <w:tcW w:w="34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抗拉强度≥400Rm/Mpa，断后伸长率≥10%，弯曲角度≥110°，冲击吸收能量平均值≥60KV2/J；</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抗拉强度≥450Rm/Mpa，断后伸长率≥13%，弯曲角度≥120°，冲击吸收能量平均值≥65KV2/J，及产品具有安全与电磁兼容产品认证和低噪音产品认证的加0.5分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评审依据：提供带CMA标识的检测报告、证书复印件及全国认证认可平台查询截图佐证加盖投标人公章,不提供、不满足或检测标准不在CMA认证范围内的不加分。</w:t>
            </w:r>
            <w:r/>
          </w:p>
        </w:tc>
        <w:tc>
          <w:tcPr>
            <w:shd w:val="clear" w:color="auto" w:fill="auto"/>
            <w:tcBorders>
              <w:top w:val="none" w:color="000000" w:sz="4" w:space="0"/>
              <w:left w:val="single" w:color="000000" w:sz="4" w:space="0"/>
              <w:bottom w:val="single" w:color="000000" w:sz="4" w:space="0"/>
              <w:right w:val="single" w:color="000000" w:sz="4" w:space="0"/>
            </w:tcBorders>
            <w:tcW w:w="489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抗拉强度≥500Rm/Mpa，断后伸长率≥16%，弯曲角度≥170°，冲击吸收能量平均值≥70KV2/J，及产品具有安全与电磁兼容产品认证和低噪音产品认证的加1分</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评审依据：提供带CMA标识的检测报告、证书复印件及全国认证认可平台查询截图佐证加盖投标人公章,不提供、不满足或检测标准不在CMA认证范围内的不加分。</w:t>
            </w:r>
            <w:r/>
          </w:p>
        </w:tc>
      </w:tr>
    </w:tbl>
    <w:p>
      <w:pPr>
        <w:pStyle w:val="1226"/>
        <w:numPr>
          <w:ilvl w:val="0"/>
          <w:numId w:val="0"/>
        </w:numPr>
        <w:spacing w:line="360" w:lineRule="auto"/>
        <w:rPr>
          <w:rFonts w:hint="eastAsia" w:ascii="宋体" w:hAnsi="宋体"/>
          <w:b/>
          <w:sz w:val="24"/>
          <w:szCs w:val="24"/>
          <w:highlight w:val="none"/>
          <w:lang w:val="en-US" w:eastAsia="zh-CN"/>
        </w:rPr>
      </w:pPr>
      <w:r>
        <w:rPr>
          <w:rFonts w:hint="eastAsia" w:ascii="宋体" w:hAnsi="宋体"/>
          <w:b/>
          <w:sz w:val="24"/>
          <w:szCs w:val="24"/>
          <w:highlight w:val="none"/>
          <w:lang w:val="en-US" w:eastAsia="zh-CN"/>
        </w:rPr>
      </w:r>
      <w:r/>
    </w:p>
    <w:p>
      <w:pPr>
        <w:pStyle w:val="1226"/>
        <w:numPr>
          <w:ilvl w:val="0"/>
          <w:numId w:val="0"/>
        </w:numPr>
        <w:spacing w:line="360" w:lineRule="auto"/>
        <w:rPr>
          <w:rFonts w:hint="eastAsia" w:ascii="宋体" w:hAnsi="宋体"/>
          <w:b/>
          <w:sz w:val="24"/>
          <w:szCs w:val="24"/>
          <w:highlight w:val="none"/>
          <w:lang w:val="en-US" w:eastAsia="zh-CN"/>
        </w:rPr>
      </w:pPr>
      <w:r>
        <w:rPr>
          <w:rFonts w:hint="eastAsia" w:ascii="宋体" w:hAnsi="宋体"/>
          <w:b/>
          <w:sz w:val="24"/>
          <w:szCs w:val="24"/>
          <w:highlight w:val="none"/>
          <w:lang w:val="en-US" w:eastAsia="zh-CN"/>
        </w:rPr>
      </w:r>
      <w:r/>
    </w:p>
    <w:p>
      <w:pPr>
        <w:pStyle w:val="1226"/>
        <w:numPr>
          <w:ilvl w:val="0"/>
          <w:numId w:val="0"/>
        </w:numPr>
        <w:spacing w:line="360" w:lineRule="auto"/>
        <w:rPr>
          <w:rFonts w:hint="eastAsia" w:ascii="宋体" w:hAnsi="宋体"/>
          <w:b/>
          <w:sz w:val="24"/>
          <w:szCs w:val="24"/>
          <w:highlight w:val="none"/>
          <w:lang w:val="en-US" w:eastAsia="zh-CN"/>
        </w:rPr>
      </w:pPr>
      <w:r>
        <w:rPr>
          <w:rFonts w:hint="eastAsia" w:ascii="宋体" w:hAnsi="宋体"/>
          <w:b/>
          <w:sz w:val="24"/>
          <w:szCs w:val="24"/>
          <w:highlight w:val="none"/>
          <w:lang w:val="en-US" w:eastAsia="zh-CN"/>
        </w:rPr>
      </w:r>
      <w:r/>
    </w:p>
    <w:p>
      <w:pPr>
        <w:pStyle w:val="1226"/>
        <w:numPr>
          <w:ilvl w:val="0"/>
          <w:numId w:val="0"/>
        </w:numPr>
        <w:spacing w:line="360" w:lineRule="auto"/>
        <w:rPr>
          <w:rFonts w:hint="eastAsia" w:ascii="宋体" w:hAnsi="宋体"/>
          <w:b/>
          <w:sz w:val="24"/>
          <w:szCs w:val="24"/>
          <w:highlight w:val="none"/>
          <w:lang w:val="en-US" w:eastAsia="zh-CN"/>
        </w:rPr>
        <w:sectPr>
          <w:footnotePr/>
          <w:endnotePr/>
          <w:type w:val="nextPage"/>
          <w:pgSz w:w="16838" w:h="11906" w:orient="landscape"/>
          <w:pgMar w:top="1418" w:right="1417" w:bottom="1417" w:left="1417" w:header="624" w:footer="907" w:gutter="0"/>
          <w:cols w:num="1" w:sep="0" w:space="0" w:equalWidth="1"/>
          <w:docGrid w:linePitch="360"/>
          <w:titlePg/>
        </w:sectPr>
      </w:pPr>
      <w:r>
        <w:rPr>
          <w:rFonts w:hint="eastAsia" w:ascii="宋体" w:hAnsi="宋体"/>
          <w:b/>
          <w:sz w:val="24"/>
          <w:szCs w:val="24"/>
          <w:highlight w:val="none"/>
          <w:lang w:val="en-US" w:eastAsia="zh-CN"/>
        </w:rPr>
      </w:r>
      <w:r/>
    </w:p>
    <w:p>
      <w:pPr>
        <w:numPr>
          <w:ilvl w:val="0"/>
          <w:numId w:val="0"/>
        </w:numPr>
        <w:ind w:firstLine="482"/>
        <w:spacing w:line="360" w:lineRule="auto"/>
        <w:tabs>
          <w:tab w:val="left" w:pos="945" w:leader="none"/>
          <w:tab w:val="left" w:pos="1155" w:leader="none"/>
        </w:tabs>
        <w:rPr>
          <w:rFonts w:ascii="宋体" w:hAnsi="宋体"/>
          <w:b/>
          <w:bCs w:val="0"/>
          <w:sz w:val="24"/>
          <w:szCs w:val="24"/>
          <w:highlight w:val="none"/>
        </w:rPr>
      </w:pPr>
      <w:r>
        <w:rPr>
          <w:rFonts w:hint="eastAsia" w:ascii="宋体" w:hAnsi="宋体" w:eastAsia="宋体"/>
          <w:b/>
          <w:bCs w:val="0"/>
          <w:sz w:val="24"/>
          <w:szCs w:val="24"/>
          <w:highlight w:val="none"/>
          <w:lang w:val="en-US" w:eastAsia="zh-CN"/>
        </w:rPr>
        <w:t xml:space="preserve">注：1、</w:t>
      </w:r>
      <w:r>
        <w:rPr>
          <w:rFonts w:hint="eastAsia" w:ascii="宋体" w:hAnsi="宋体" w:eastAsia="宋体"/>
          <w:b/>
          <w:bCs w:val="0"/>
          <w:sz w:val="24"/>
          <w:szCs w:val="24"/>
          <w:highlight w:val="none"/>
        </w:rPr>
        <w:t xml:space="preserve">投标文件中的检测报告材料必须清晰且完整含封底及封面，仅提供局部内容的检测报告视为无效，提供的检测报告上的检测项目名称与上述名称不同，但内容实际相同的视作等同</w:t>
      </w:r>
      <w:r>
        <w:rPr>
          <w:rFonts w:hint="eastAsia" w:ascii="宋体" w:hAnsi="宋体"/>
          <w:b/>
          <w:bCs w:val="0"/>
          <w:sz w:val="24"/>
          <w:szCs w:val="24"/>
          <w:highlight w:val="none"/>
        </w:rPr>
        <w:t xml:space="preserve">。</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加分</w:t>
      </w:r>
      <w:r>
        <w:rPr>
          <w:rFonts w:hint="eastAsia" w:ascii="宋体" w:hAnsi="宋体" w:eastAsia="宋体" w:cs="宋体"/>
          <w:b/>
          <w:bCs w:val="0"/>
          <w:color w:val="000000"/>
          <w:sz w:val="24"/>
          <w:szCs w:val="24"/>
          <w:highlight w:val="none"/>
          <w:lang w:val="en-US" w:eastAsia="zh-CN"/>
        </w:rPr>
        <w:t xml:space="preserve">因素</w:t>
      </w:r>
      <w:r>
        <w:rPr>
          <w:rFonts w:hint="eastAsia" w:ascii="宋体" w:hAnsi="宋体" w:eastAsia="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en-US" w:eastAsia="zh-CN"/>
        </w:rPr>
        <w:t xml:space="preserve">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分。注：同一产品同时具备节能产品认证证书、环境标志产品认证证书的，不重复计分。投标时提供认证证书</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 w:val="0"/>
          <w:bCs w:val="0"/>
          <w:sz w:val="24"/>
          <w:szCs w:val="24"/>
          <w:highlight w:val="none"/>
          <w:lang w:val="en-US" w:eastAsia="zh-CN" w:bidi="ar-SA"/>
        </w:rPr>
        <w:t xml:space="preserve">上传至系统内，不提供不得分</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pStyle w:val="1226"/>
        <w:ind w:firstLine="482"/>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rPr>
        <w:t xml:space="preserve">、技术方案（</w:t>
      </w:r>
      <w:r>
        <w:rPr>
          <w:rFonts w:hint="eastAsia" w:ascii="宋体" w:hAnsi="宋体" w:cs="宋体"/>
          <w:b/>
          <w:sz w:val="24"/>
          <w:szCs w:val="24"/>
          <w:highlight w:val="none"/>
          <w:lang w:val="en-US" w:eastAsia="zh-CN"/>
        </w:rPr>
        <w:t xml:space="preserve">35</w:t>
      </w:r>
      <w:r>
        <w:rPr>
          <w:rFonts w:hint="eastAsia" w:ascii="宋体" w:hAnsi="宋体" w:cs="宋体"/>
          <w:b/>
          <w:sz w:val="24"/>
          <w:szCs w:val="24"/>
          <w:highlight w:val="none"/>
        </w:rPr>
        <w:t xml:space="preserve">分）：</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1、针对本项目的实施方案（</w:t>
      </w:r>
      <w:r>
        <w:rPr>
          <w:rFonts w:hint="eastAsia" w:ascii="宋体" w:hAnsi="宋体" w:eastAsia="宋体" w:cs="宋体"/>
          <w:b/>
          <w:bCs w:val="0"/>
          <w:color w:val="000000"/>
          <w:sz w:val="24"/>
          <w:szCs w:val="24"/>
          <w:highlight w:val="none"/>
          <w:lang w:val="en-US" w:eastAsia="zh-CN"/>
        </w:rPr>
        <w:t xml:space="preserve">18</w:t>
      </w:r>
      <w:r>
        <w:rPr>
          <w:rFonts w:hint="eastAsia" w:ascii="宋体" w:hAnsi="宋体" w:eastAsia="宋体" w:cs="宋体"/>
          <w:b/>
          <w:bCs w:val="0"/>
          <w:color w:val="000000"/>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①施工组织机构及现场配置简介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②拟安排本项目技术人员</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③技术服务及安装施工组织措施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④施工流程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⑤施工现场管理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⑥质量控制程序及质量保证体系</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⑦项目整体调试计划</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⑧安装作业指导书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⑨供货进度计划</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pStyle w:val="1226"/>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分；以上内容存在</w:t>
      </w:r>
      <w:r>
        <w:rPr>
          <w:rFonts w:hint="eastAsia" w:ascii="宋体" w:hAnsi="宋体" w:cs="宋体"/>
          <w:sz w:val="24"/>
          <w:szCs w:val="24"/>
          <w:highlight w:val="none"/>
          <w:lang w:val="en-US" w:eastAsia="zh-CN"/>
        </w:rPr>
        <w:t xml:space="preserve">1处</w:t>
      </w:r>
      <w:r>
        <w:rPr>
          <w:rFonts w:hint="eastAsia" w:ascii="宋体" w:hAnsi="宋体" w:eastAsia="宋体" w:cs="宋体"/>
          <w:sz w:val="24"/>
          <w:szCs w:val="24"/>
          <w:highlight w:val="none"/>
          <w:lang w:val="en-US" w:eastAsia="zh-CN"/>
        </w:rPr>
        <w:t xml:space="preserve">瑕疵的该条得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分；未提供方案或不满足项目需求书要求或内容存在</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处及以上瑕疵的该条得0分；本项最高得</w:t>
      </w:r>
      <w:r>
        <w:rPr>
          <w:rFonts w:hint="eastAsia" w:ascii="宋体" w:hAnsi="宋体" w:cs="宋体"/>
          <w:sz w:val="24"/>
          <w:szCs w:val="24"/>
          <w:highlight w:val="none"/>
          <w:lang w:val="en-US" w:eastAsia="zh-CN"/>
        </w:rPr>
        <w:t xml:space="preserve">18</w:t>
      </w:r>
      <w:r>
        <w:rPr>
          <w:rFonts w:hint="eastAsia" w:ascii="宋体" w:hAnsi="宋体" w:eastAsia="宋体" w:cs="宋体"/>
          <w:sz w:val="24"/>
          <w:szCs w:val="24"/>
          <w:highlight w:val="none"/>
          <w:lang w:val="en-US" w:eastAsia="zh-CN"/>
        </w:rPr>
        <w:t xml:space="preserve">分。</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2、安全文明施工及环境保护措施（</w:t>
      </w: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bCs w:val="0"/>
          <w:color w:val="000000"/>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①安全保证措施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②安全生产责任制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③安全用电技术措施及电气防火措施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④环境保护组织管理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⑤环境保护工作制度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⑥环境保护制度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分；以上内容存在1处瑕疵的该条得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分；未提供方案或不满足项目需求书要求或内容存在2处及以上瑕疵的该条得0分；本项最高得12分</w:t>
      </w:r>
      <w:r>
        <w:rPr>
          <w:rFonts w:hint="eastAsia" w:ascii="宋体" w:hAnsi="宋体" w:eastAsia="宋体" w:cs="宋体"/>
          <w:bCs/>
          <w:color w:val="000000"/>
          <w:sz w:val="24"/>
          <w:szCs w:val="24"/>
          <w:highlight w:val="none"/>
        </w:rPr>
        <w:t xml:space="preserve">。</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3.针对本项目的培训方案（</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p>
    <w:p>
      <w:pPr>
        <w:pStyle w:val="1226"/>
        <w:ind w:firstLine="42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①培训方式（</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lang w:eastAsia="zh-CN"/>
        </w:rPr>
        <w:t xml:space="preserve">）；</w:t>
      </w:r>
      <w:r/>
    </w:p>
    <w:p>
      <w:pPr>
        <w:pStyle w:val="1226"/>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lang w:eastAsia="zh-CN"/>
        </w:rPr>
        <w:t xml:space="preserve">②培训计划安排（</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lang w:eastAsia="zh-CN"/>
        </w:rPr>
        <w:t xml:space="preserve">）。</w:t>
      </w:r>
      <w:r/>
    </w:p>
    <w:p>
      <w:pPr>
        <w:pStyle w:val="1226"/>
        <w:ind w:firstLine="42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分；以上内容存在1处瑕疵的该条得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分；未提供方案或不满足项目需求书要求或内容存在2处及以上瑕疵的该条得0分；本项最高得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w:t>
      </w:r>
      <w:r/>
    </w:p>
    <w:p>
      <w:pPr>
        <w:pStyle w:val="1226"/>
        <w:ind w:firstLine="420"/>
        <w:keepLines w:val="0"/>
        <w:keepNext w:val="0"/>
        <w:pageBreakBefore w:val="0"/>
        <w:spacing w:line="36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4.针对本项目的售后服务方案（3分）</w:t>
      </w:r>
      <w:r/>
    </w:p>
    <w:p>
      <w:pPr>
        <w:pStyle w:val="1226"/>
        <w:ind w:firstLine="420"/>
        <w:keepLines w:val="0"/>
        <w:keepNext w:val="0"/>
        <w:pageBreakBefore w:val="0"/>
        <w:spacing w:line="360" w:lineRule="auto"/>
        <w:widowControl w:val="off"/>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①售后服务流程及售后人员安排</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lang w:eastAsia="zh-CN"/>
        </w:rPr>
        <w:t xml:space="preserve">）；</w:t>
      </w:r>
      <w:r/>
    </w:p>
    <w:p>
      <w:pPr>
        <w:pStyle w:val="1226"/>
        <w:ind w:firstLine="420"/>
        <w:keepLines w:val="0"/>
        <w:keepNext w:val="0"/>
        <w:pageBreakBefore w:val="0"/>
        <w:spacing w:line="360" w:lineRule="auto"/>
        <w:widowControl w:val="off"/>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②售后服务原则与工作概述及售后规范</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lang w:eastAsia="zh-CN"/>
        </w:rPr>
        <w:t xml:space="preserve">）；</w:t>
      </w:r>
      <w:r/>
    </w:p>
    <w:p>
      <w:pPr>
        <w:pStyle w:val="1226"/>
        <w:ind w:firstLine="420"/>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val="0"/>
          <w:bCs w:val="0"/>
          <w:color w:val="000000"/>
          <w:sz w:val="24"/>
          <w:szCs w:val="24"/>
          <w:highlight w:val="none"/>
        </w:rPr>
        <w:t xml:space="preserve">③应急响应措施</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w:t>
      </w:r>
      <w:r/>
    </w:p>
    <w:p>
      <w:pPr>
        <w:pStyle w:val="1226"/>
        <w:ind w:firstLine="420"/>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eastAsia="宋体" w:cs="宋体"/>
          <w:sz w:val="24"/>
          <w:szCs w:val="24"/>
          <w:highlight w:val="none"/>
          <w:lang w:val="en-US" w:eastAsia="zh-CN"/>
        </w:rPr>
        <w:t xml:space="preserve">投标人针对上述内容进行阐述，要求阐述内容完整合理、可行性强。以上内容不存在瑕疵的该条得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分；以上内容存在1处瑕疵的该条得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分；未提供方案或不满足项目需求书要求或内容存在2处及以上瑕疵的该条得0分；本项最高得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w:t>
      </w:r>
      <w:r/>
    </w:p>
    <w:p>
      <w:pPr>
        <w:pStyle w:val="1226"/>
        <w:ind w:firstLine="420"/>
        <w:keepLines w:val="0"/>
        <w:keepNext w:val="0"/>
        <w:pageBreakBefore w:val="0"/>
        <w:spacing w:line="360" w:lineRule="auto"/>
        <w:widowControl w:val="off"/>
        <w:rPr>
          <w:rFonts w:hint="eastAsia"/>
          <w:highlight w:val="none"/>
        </w:rPr>
      </w:pPr>
      <w:r>
        <w:rPr>
          <w:rFonts w:hint="eastAsia" w:ascii="宋体" w:hAnsi="宋体" w:cs="宋体"/>
          <w:b/>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226"/>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技术标评委在5人及5人以上的，取所有成员的平均值。评分办法及评分细则的解释权属采购人。未列入本评分细则的其他条件不作为评分内容。</w:t>
      </w:r>
      <w:r/>
    </w:p>
    <w:p>
      <w:pPr>
        <w:pStyle w:val="1187"/>
        <w:keepLines/>
        <w:keepNext/>
        <w:pageBreakBefore w:val="0"/>
        <w:spacing w:line="360" w:lineRule="auto"/>
        <w:widowControl w:val="off"/>
        <w:rPr>
          <w:rFonts w:ascii="宋体" w:hAnsi="宋体" w:eastAsia="宋体"/>
          <w:sz w:val="24"/>
          <w:szCs w:val="24"/>
          <w:highlight w:val="none"/>
        </w:rPr>
      </w:pPr>
      <w:r>
        <w:rPr>
          <w:rFonts w:hint="eastAsia"/>
          <w:highlight w:val="none"/>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rPr>
          <w:rFonts w:ascii="宋体" w:hAnsi="宋体" w:eastAsia="宋体"/>
          <w:sz w:val="24"/>
          <w:szCs w:val="24"/>
          <w:highlight w:val="none"/>
        </w:rPr>
      </w:pPr>
      <w:r>
        <w:rPr>
          <w:rFonts w:ascii="宋体" w:hAnsi="宋体" w:eastAsia="宋体"/>
          <w:sz w:val="24"/>
          <w:szCs w:val="24"/>
          <w:highlight w:val="none"/>
        </w:rPr>
      </w:r>
      <w:r/>
    </w:p>
    <w:p>
      <w:pPr>
        <w:pStyle w:val="1187"/>
        <w:rPr>
          <w:rFonts w:ascii="宋体" w:hAnsi="宋体" w:eastAsia="宋体"/>
          <w:sz w:val="24"/>
          <w:szCs w:val="24"/>
          <w:highlight w:val="none"/>
        </w:rPr>
      </w:pPr>
      <w:r>
        <w:rPr>
          <w:rFonts w:ascii="宋体" w:hAnsi="宋体" w:eastAsia="宋体"/>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202"/>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202"/>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JSZC-320205-JZCG-G2025-0099</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东北塘实验小学北校区厨房设备采购项目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202"/>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202"/>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202"/>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p>
    <w:p>
      <w:pPr>
        <w:pStyle w:val="1226"/>
        <w:ind w:firstLine="0"/>
        <w:rPr>
          <w:color w:val="000000"/>
          <w:highlight w:val="none"/>
        </w:rPr>
      </w:pPr>
      <w:r/>
      <w:bookmarkStart w:id="27" w:name="一．报价函（格式）"/>
      <w:r/>
      <w:bookmarkEnd w:id="27"/>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JSZC-320205-JZCG-G2025-0099</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470"/>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42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426"/>
        <w:rPr>
          <w:rFonts w:ascii="宋体" w:hAnsi="宋体" w:eastAsia="宋体" w:cs="宋体"/>
          <w:color w:val="000000"/>
          <w:highlight w:val="none"/>
        </w:rPr>
      </w:pPr>
      <w:r>
        <w:rPr>
          <w:rFonts w:ascii="宋体" w:hAnsi="宋体" w:eastAsia="宋体" w:cs="宋体"/>
          <w:color w:val="000000"/>
          <w:highlight w:val="none"/>
        </w:rPr>
      </w:r>
      <w:r/>
    </w:p>
    <w:p>
      <w:pPr>
        <w:ind w:firstLine="48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28" w:name="报价方关于资格的声明函（格式）"/>
      <w:r/>
      <w:bookmarkEnd w:id="28"/>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JSZC-320205-JZCG-G2025-0099</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东北塘实验小学北校区厨房设备采购项目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87"/>
        <w:rPr>
          <w:highlight w:val="none"/>
        </w:rPr>
      </w:pPr>
      <w:r>
        <w:rPr>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JSZC-320205-JZCG-G2025-0099</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东北塘实验小学北校区厨房设备采购项目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02"/>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202"/>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10"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09" o:spid="_x0000_s109"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11"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0" o:spid="_x0000_s110"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6"/>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4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6"/>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12"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11" o:spid="_x0000_s111"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3"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2" o:spid="_x0000_s112"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7"/>
        <w:rPr>
          <w:color w:val="000000"/>
          <w:highlight w:val="none"/>
        </w:rPr>
      </w:pPr>
      <w:r>
        <w:rPr>
          <w:color w:val="000000"/>
          <w:highlight w:val="none"/>
        </w:rPr>
      </w:r>
      <w:r/>
    </w:p>
    <w:p>
      <w:pPr>
        <w:pStyle w:val="142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2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427"/>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434"/>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JSZC-320205-JZCG-G2025-0099</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4"/>
          <w:headerReference w:type="first" r:id="rId15"/>
          <w:footerReference w:type="default" r:id="rId24"/>
          <w:footerReference w:type="first" r:id="rId25"/>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202"/>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19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19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194"/>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19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9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9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13"/>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20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14"/>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202"/>
        <w:ind w:left="0"/>
        <w:rPr>
          <w:highlight w:val="none"/>
        </w:rPr>
      </w:pPr>
      <w:r>
        <w:rPr>
          <w:highlight w:val="none"/>
        </w:rPr>
      </w:r>
      <w:r/>
    </w:p>
    <w:p>
      <w:pPr>
        <w:pStyle w:val="1202"/>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194"/>
        <w:tblpPr w:horzAnchor="page" w:tblpX="209" w:vertAnchor="text" w:tblpY="345" w:leftFromText="180" w:topFromText="0" w:rightFromText="180" w:bottomFromText="0"/>
        <w:tblW w:w="114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72"/>
        <w:gridCol w:w="952"/>
        <w:gridCol w:w="443"/>
        <w:gridCol w:w="384"/>
        <w:gridCol w:w="896"/>
        <w:gridCol w:w="1310"/>
        <w:gridCol w:w="2165"/>
        <w:gridCol w:w="611"/>
        <w:gridCol w:w="591"/>
        <w:gridCol w:w="714"/>
        <w:gridCol w:w="931"/>
        <w:gridCol w:w="774"/>
        <w:gridCol w:w="368"/>
        <w:gridCol w:w="823"/>
      </w:tblGrid>
      <w:tr>
        <w:trPr>
          <w:cantSplit/>
          <w:trHeight w:val="828"/>
        </w:trPr>
        <w:tc>
          <w:tcPr>
            <w:tcMar>
              <w:left w:w="15" w:type="dxa"/>
              <w:top w:w="15" w:type="dxa"/>
              <w:right w:w="15" w:type="dxa"/>
              <w:bottom w:w="0" w:type="dxa"/>
            </w:tcMar>
            <w:tcW w:w="47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95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gridSpan w:val="2"/>
            <w:tcMar>
              <w:left w:w="15" w:type="dxa"/>
              <w:top w:w="15" w:type="dxa"/>
              <w:right w:w="15" w:type="dxa"/>
              <w:bottom w:w="0" w:type="dxa"/>
            </w:tcMar>
            <w:tcW w:w="8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tcMar>
              <w:left w:w="15" w:type="dxa"/>
              <w:top w:w="15" w:type="dxa"/>
              <w:right w:w="15" w:type="dxa"/>
              <w:bottom w:w="0" w:type="dxa"/>
            </w:tcMar>
            <w:tcW w:w="896"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131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gridSpan w:val="2"/>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472" w:type="dxa"/>
            <w:vAlign w:val="center"/>
            <w:textDirection w:val="lrTb"/>
            <w:noWrap w:val="false"/>
          </w:tcPr>
          <w:p>
            <w:pPr>
              <w:pStyle w:val="1446"/>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952" w:type="dxa"/>
            <w:vAlign w:val="center"/>
            <w:textDirection w:val="lrTb"/>
            <w:noWrap w:val="false"/>
          </w:tcPr>
          <w:p>
            <w:pPr>
              <w:pStyle w:val="144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827" w:type="dxa"/>
            <w:vAlign w:val="center"/>
            <w:textDirection w:val="lrTb"/>
            <w:noWrap w:val="false"/>
          </w:tcPr>
          <w:p>
            <w:pPr>
              <w:pStyle w:val="144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896" w:type="dxa"/>
            <w:textDirection w:val="lrTb"/>
            <w:noWrap w:val="false"/>
          </w:tcPr>
          <w:p>
            <w:pPr>
              <w:pStyle w:val="144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1310" w:type="dxa"/>
            <w:textDirection w:val="lrTb"/>
            <w:noWrap w:val="false"/>
          </w:tcPr>
          <w:p>
            <w:pPr>
              <w:pStyle w:val="144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gridSpan w:val="2"/>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472" w:type="dxa"/>
            <w:vAlign w:val="center"/>
            <w:textDirection w:val="lrTb"/>
            <w:noWrap w:val="false"/>
          </w:tcPr>
          <w:p>
            <w:pPr>
              <w:pStyle w:val="1446"/>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952" w:type="dxa"/>
            <w:vAlign w:val="center"/>
            <w:textDirection w:val="lrTb"/>
            <w:noWrap w:val="false"/>
          </w:tcPr>
          <w:p>
            <w:pPr>
              <w:pStyle w:val="144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827" w:type="dxa"/>
            <w:vAlign w:val="center"/>
            <w:textDirection w:val="lrTb"/>
            <w:noWrap w:val="false"/>
          </w:tcPr>
          <w:p>
            <w:pPr>
              <w:pStyle w:val="144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896" w:type="dxa"/>
            <w:textDirection w:val="lrTb"/>
            <w:noWrap w:val="false"/>
          </w:tcPr>
          <w:p>
            <w:pPr>
              <w:pStyle w:val="144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1310" w:type="dxa"/>
            <w:textDirection w:val="lrTb"/>
            <w:noWrap w:val="false"/>
          </w:tcPr>
          <w:p>
            <w:pPr>
              <w:pStyle w:val="144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472"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95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gridSpan w:val="2"/>
            <w:tcMar>
              <w:left w:w="15" w:type="dxa"/>
              <w:top w:w="15" w:type="dxa"/>
              <w:right w:w="15" w:type="dxa"/>
              <w:bottom w:w="0" w:type="dxa"/>
            </w:tcMar>
            <w:tcW w:w="827" w:type="dxa"/>
            <w:vAlign w:val="center"/>
            <w:textDirection w:val="lrTb"/>
            <w:noWrap w:val="false"/>
          </w:tcPr>
          <w:p>
            <w:pPr>
              <w:pStyle w:val="144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896" w:type="dxa"/>
            <w:vAlign w:val="center"/>
            <w:textDirection w:val="lrTb"/>
            <w:noWrap w:val="false"/>
          </w:tcPr>
          <w:p>
            <w:pPr>
              <w:pStyle w:val="144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1310" w:type="dxa"/>
            <w:vAlign w:val="center"/>
            <w:textDirection w:val="lrTb"/>
            <w:noWrap w:val="false"/>
          </w:tcPr>
          <w:p>
            <w:pPr>
              <w:pStyle w:val="1446"/>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3"/>
            <w:tcMar>
              <w:left w:w="15" w:type="dxa"/>
              <w:top w:w="15" w:type="dxa"/>
              <w:right w:w="15" w:type="dxa"/>
              <w:bottom w:w="0" w:type="dxa"/>
            </w:tcMar>
            <w:tcW w:w="186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3"/>
            <w:tcMar>
              <w:left w:w="15" w:type="dxa"/>
              <w:top w:w="15" w:type="dxa"/>
              <w:right w:w="15" w:type="dxa"/>
              <w:bottom w:w="0" w:type="dxa"/>
            </w:tcMar>
            <w:tcW w:w="186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c>
          <w:tcPr>
            <w:gridSpan w:val="2"/>
            <w:tcMar>
              <w:left w:w="15" w:type="dxa"/>
              <w:top w:w="15" w:type="dxa"/>
              <w:right w:w="15" w:type="dxa"/>
              <w:bottom w:w="0" w:type="dxa"/>
            </w:tcMar>
            <w:tcW w:w="1191"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785"/>
        </w:trPr>
        <w:tc>
          <w:tcPr>
            <w:gridSpan w:val="3"/>
            <w:tcMar>
              <w:left w:w="15" w:type="dxa"/>
              <w:top w:w="15" w:type="dxa"/>
              <w:right w:w="15" w:type="dxa"/>
              <w:bottom w:w="0" w:type="dxa"/>
            </w:tcMar>
            <w:tcW w:w="186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color w:val="000000"/>
                <w:sz w:val="24"/>
                <w:szCs w:val="28"/>
                <w:highlight w:val="none"/>
              </w:rPr>
              <w:t xml:space="preserve">项目经最终验收合格之日起____年</w:t>
            </w:r>
            <w:r/>
          </w:p>
        </w:tc>
        <w:tc>
          <w:tcPr>
            <w:gridSpan w:val="2"/>
            <w:tcMar>
              <w:left w:w="15" w:type="dxa"/>
              <w:top w:w="15" w:type="dxa"/>
              <w:right w:w="15" w:type="dxa"/>
              <w:bottom w:w="0" w:type="dxa"/>
            </w:tcMar>
            <w:tcW w:w="1191"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pStyle w:val="1278"/>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278"/>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278"/>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202"/>
        <w:rPr>
          <w:color w:val="000000"/>
          <w:highlight w:val="none"/>
        </w:rPr>
      </w:pPr>
      <w:r>
        <w:rPr>
          <w:color w:val="000000"/>
          <w:highlight w:val="none"/>
        </w:rPr>
      </w:r>
      <w:r/>
    </w:p>
    <w:p>
      <w:pPr>
        <w:rPr>
          <w:highlight w:val="none"/>
        </w:rPr>
      </w:pPr>
      <w:r>
        <w:rPr>
          <w:highlight w:val="none"/>
        </w:rPr>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东北塘实验小学北校区厨房设备采购项目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194"/>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JSZC-320205-JZCG-G2025-0099</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货物类采购须按“第三章项目要求和有关说明”中的技术部分</w:t>
      </w:r>
      <w:r>
        <w:rPr>
          <w:rFonts w:hint="eastAsia" w:ascii="宋体" w:hAnsi="宋体" w:eastAsia="宋体" w:cs="Times New Roman"/>
          <w:b/>
          <w:bCs w:val="0"/>
          <w:color w:val="c00000"/>
          <w:sz w:val="28"/>
          <w:szCs w:val="28"/>
          <w:highlight w:val="none"/>
          <w:lang w:val="en-US" w:eastAsia="zh-CN"/>
        </w:rPr>
        <w:t xml:space="preserve">逐条列明</w:t>
      </w:r>
      <w:r>
        <w:rPr>
          <w:rFonts w:hint="eastAsia" w:ascii="宋体" w:hAnsi="宋体" w:eastAsia="宋体" w:cs="Times New Roman"/>
          <w:b w:val="0"/>
          <w:bCs/>
          <w:color w:val="c00000"/>
          <w:sz w:val="28"/>
          <w:szCs w:val="28"/>
          <w:highlight w:val="none"/>
          <w:lang w:val="en-US" w:eastAsia="zh-CN"/>
        </w:rPr>
        <w:t xml:space="preserve">，“实报内容”中须包含设备名称、规格、数量、单位、技术参数等，</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278"/>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427"/>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401"/>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19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427"/>
        <w:rPr>
          <w:rFonts w:ascii="宋体" w:hAnsi="宋体"/>
          <w:b/>
          <w:bCs/>
          <w:color w:val="000000"/>
          <w:sz w:val="24"/>
          <w:szCs w:val="24"/>
          <w:highlight w:val="none"/>
        </w:rPr>
      </w:pPr>
      <w:r>
        <w:rPr>
          <w:rFonts w:ascii="宋体" w:hAnsi="宋体"/>
          <w:b/>
          <w:bCs/>
          <w:color w:val="000000"/>
          <w:sz w:val="24"/>
          <w:szCs w:val="24"/>
          <w:highlight w:val="none"/>
        </w:rPr>
      </w:r>
      <w:r/>
    </w:p>
    <w:p>
      <w:pPr>
        <w:pStyle w:val="1427"/>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6"/>
          <w:headerReference w:type="first" r:id="rId17"/>
          <w:footerReference w:type="default" r:id="rId26"/>
          <w:footerReference w:type="first" r:id="rId27"/>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399"/>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29"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29"/>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15"/>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5"/>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5"/>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199"/>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247"/>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6"/>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399"/>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ind w:left="120"/>
        <w:spacing w:line="360" w:lineRule="auto"/>
        <w:rPr>
          <w:rFonts w:ascii="宋体" w:hAnsi="宋体"/>
          <w:bCs/>
          <w:color w:val="000000"/>
          <w:highlight w:val="none"/>
        </w:rPr>
      </w:pP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名称</w:t>
      </w:r>
      <w:r>
        <w:rPr>
          <w:rFonts w:hint="eastAsia" w:ascii="宋体" w:hAnsi="宋体"/>
          <w:bCs/>
          <w:color w:val="000000"/>
          <w:sz w:val="24"/>
          <w:szCs w:val="24"/>
          <w:highlight w:val="none"/>
        </w:rPr>
        <w:t xml:space="preserve">（盖章）：</w:t>
      </w:r>
      <w:r/>
    </w:p>
    <w:p>
      <w:pPr>
        <w:ind w:left="1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399"/>
        <w:spacing w:before="160" w:after="160"/>
        <w:rPr>
          <w:b w:val="0"/>
          <w:color w:val="000000"/>
          <w:sz w:val="24"/>
          <w:highlight w:val="none"/>
        </w:rPr>
      </w:pPr>
      <w:r/>
      <w:bookmarkStart w:id="30"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0"/>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spacing w:line="176"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44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5" o:spid="_x0000_s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44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444"/>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6"/>
      <w:jc w:val="both"/>
      <w:rPr>
        <w:rFonts w:hint="eastAsia" w:ascii="宋体" w:hAnsi="宋体" w:eastAsia="宋体" w:cs="宋体"/>
        <w:sz w:val="15"/>
        <w:szCs w:val="15"/>
      </w:rPr>
    </w:pPr>
    <w:r>
      <w:rPr>
        <w:rFonts w:hint="eastAsia" w:eastAsia="楷体_GB2312"/>
        <w:sz w:val="21"/>
        <w:lang w:eastAsia="zh-CN"/>
      </w:rPr>
      <w:t xml:space="preserve">JSZC-320205-JZCG-G2025-0099</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20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rPr>
        <w:rFonts w:ascii="Times New Roman" w:hAnsi="Times New Roman" w:eastAsia="楷体_GB2312"/>
        <w:szCs w:val="21"/>
      </w:rPr>
    </w:pPr>
    <w:r>
      <w:rPr>
        <w:rFonts w:ascii="Times New Roman" w:hAnsi="Times New Roman" w:eastAsia="楷体_GB2312"/>
        <w:szCs w:val="21"/>
      </w:rPr>
    </w:r>
    <w:r/>
  </w:p>
  <w:p>
    <w:pPr>
      <w:pStyle w:val="1209"/>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209"/>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rPr>
        <w:rFonts w:ascii="Times New Roman" w:hAnsi="Times New Roman" w:eastAsia="楷体_GB2312"/>
        <w:szCs w:val="21"/>
      </w:rPr>
    </w:pPr>
    <w:r>
      <w:rPr>
        <w:rFonts w:ascii="Times New Roman" w:hAnsi="Times New Roman" w:eastAsia="楷体_GB2312"/>
        <w:szCs w:val="21"/>
      </w:rPr>
    </w:r>
    <w:r/>
  </w:p>
  <w:p>
    <w:pPr>
      <w:pStyle w:val="1209"/>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209"/>
      <w:ind w:left="1260" w:hanging="1260"/>
      <w:pBdr>
        <w:bottom w:val="single" w:color="auto" w:sz="4"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6"/>
      <w:jc w:val="both"/>
      <w:rPr>
        <w:rFonts w:eastAsia="楷体_GB2312"/>
        <w:sz w:val="21"/>
      </w:rPr>
    </w:pPr>
    <w:r>
      <w:rPr>
        <w:rFonts w:eastAsia="楷体_GB2312"/>
        <w:sz w:val="21"/>
      </w:rPr>
    </w:r>
    <w:r/>
  </w:p>
  <w:p>
    <w:pPr>
      <w:pStyle w:val="1446"/>
      <w:jc w:val="both"/>
      <w:rPr>
        <w:rFonts w:hint="eastAsia" w:ascii="宋体" w:hAnsi="宋体" w:eastAsia="宋体" w:cs="宋体"/>
        <w:sz w:val="15"/>
        <w:szCs w:val="15"/>
      </w:rPr>
    </w:pPr>
    <w:r>
      <w:rPr>
        <w:rFonts w:hint="eastAsia" w:eastAsia="楷体_GB2312"/>
        <w:sz w:val="21"/>
        <w:lang w:val="en-US" w:eastAsia="zh-CN"/>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6"/>
      <w:jc w:val="both"/>
      <w:rPr>
        <w:rFonts w:hint="eastAsia"/>
      </w:rPr>
    </w:pPr>
    <w:r>
      <w:rPr>
        <w:rFonts w:hint="eastAsia" w:eastAsia="楷体_GB2312"/>
        <w:sz w:val="21"/>
        <w:lang w:eastAsia="zh-CN"/>
      </w:rPr>
      <w:t xml:space="preserve">JSZC-320205-JZCG-G2025-00</w:t>
    </w:r>
    <w:r>
      <w:rPr>
        <w:rFonts w:hint="eastAsia" w:eastAsia="楷体_GB2312"/>
        <w:sz w:val="21"/>
        <w:lang w:val="en-US" w:eastAsia="zh-CN"/>
      </w:rPr>
      <w:t xml:space="preserve">99</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6"/>
      <w:jc w:val="both"/>
      <w:rPr>
        <w:rFonts w:eastAsia="楷体_GB2312"/>
        <w:sz w:val="21"/>
      </w:rPr>
    </w:pPr>
    <w:r>
      <w:rPr>
        <w:rFonts w:eastAsia="楷体_GB2312"/>
        <w:sz w:val="21"/>
      </w:rPr>
    </w:r>
    <w:r/>
  </w:p>
  <w:p>
    <w:pPr>
      <w:pStyle w:val="1446"/>
      <w:jc w:val="both"/>
      <w:rPr>
        <w:rFonts w:hint="eastAsia" w:ascii="宋体" w:hAnsi="宋体" w:eastAsia="宋体" w:cs="宋体"/>
        <w:sz w:val="15"/>
        <w:szCs w:val="15"/>
      </w:rPr>
    </w:pPr>
    <w:r>
      <w:rPr>
        <w:rFonts w:hint="eastAsia" w:eastAsia="楷体_GB2312"/>
        <w:sz w:val="21"/>
        <w:lang w:eastAsia="zh-CN"/>
      </w:rPr>
      <w:t xml:space="preserve">JSZC-320205-JZCG-G2025-0099</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6"/>
      <w:jc w:val="both"/>
      <w:rPr>
        <w:rFonts w:hint="eastAsia"/>
      </w:rPr>
    </w:pPr>
    <w:r>
      <w:rPr>
        <w:rFonts w:hint="eastAsia" w:eastAsia="楷体_GB2312"/>
        <w:sz w:val="21"/>
        <w:lang w:eastAsia="zh-CN"/>
      </w:rPr>
      <w:t xml:space="preserve">JSZC-320205-JZCG-G2025-0099</w:t>
    </w:r>
    <w:r>
      <w:rPr>
        <w:rFonts w:hint="eastAsia" w:eastAsia="楷体_GB2312"/>
        <w:sz w:val="22"/>
        <w:szCs w:val="22"/>
      </w:rPr>
      <w:t xml:space="preserve">                      无锡市公共资源交易中心锡山分中心</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6"/>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JSZC-320205-JZCG-G2025-0099</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6"/>
      <w:jc w:val="both"/>
    </w:pPr>
    <w:r>
      <w:rPr>
        <w:rFonts w:hint="eastAsia" w:eastAsia="楷体_GB2312"/>
        <w:sz w:val="21"/>
        <w:lang w:eastAsia="zh-CN"/>
      </w:rPr>
      <w:t xml:space="preserve">JSZC-320205-JZCG-G2025-0099</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832"/>
        <w:isLgl w:val="false"/>
        <w:suff w:val="tab"/>
        <w:lvlText w:val="%1.%2."/>
        <w:lvlJc w:val="left"/>
        <w:pPr>
          <w:ind w:left="567" w:hanging="567"/>
          <w:tabs>
            <w:tab w:val="left" w:pos="567" w:leader="none"/>
          </w:tabs>
        </w:pPr>
        <w:rPr>
          <w:rFonts w:hint="eastAsia"/>
        </w:rPr>
      </w:lvl>
    </w:lvlOverride>
    <w:lvlOverride w:ilvl="2">
      <w:lvl w:ilvl="2">
        <w:start w:val="1"/>
        <w:numFmt w:val="decimal"/>
        <w:pStyle w:val="1831"/>
        <w:isLgl w:val="false"/>
        <w:suff w:val="tab"/>
        <w:lvlText w:val="%1.%2.%3."/>
        <w:lvlJc w:val="left"/>
        <w:pPr>
          <w:ind w:left="709" w:hanging="709"/>
          <w:tabs>
            <w:tab w:val="left" w:pos="709" w:leader="none"/>
          </w:tabs>
        </w:pPr>
        <w:rPr>
          <w:rFonts w:hint="eastAsia"/>
        </w:rPr>
      </w:lvl>
    </w:lvlOverride>
    <w:lvlOverride w:ilvl="3">
      <w:lvl w:ilvl="3">
        <w:start w:val="1"/>
        <w:numFmt w:val="decimal"/>
        <w:pStyle w:val="1648"/>
        <w:isLgl w:val="false"/>
        <w:suff w:val="tab"/>
        <w:lvlText w:val="%1.%2.%3.%4."/>
        <w:lvlJc w:val="left"/>
        <w:pPr>
          <w:ind w:left="851" w:hanging="851"/>
          <w:tabs>
            <w:tab w:val="left" w:pos="851" w:leader="none"/>
          </w:tabs>
        </w:pPr>
        <w:rPr>
          <w:rFonts w:hint="eastAsia"/>
        </w:rPr>
      </w:lvl>
    </w:lvlOverride>
    <w:lvlOverride w:ilvl="4">
      <w:lvl w:ilvl="4">
        <w:start w:val="1"/>
        <w:numFmt w:val="decimal"/>
        <w:pStyle w:val="1645"/>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13"/>
  </w:num>
  <w:num w:numId="3">
    <w:abstractNumId w:val="8"/>
  </w:num>
  <w:num w:numId="4">
    <w:abstractNumId w:val="1"/>
  </w:num>
  <w:num w:numId="5">
    <w:abstractNumId w:val="7"/>
  </w:num>
  <w:num w:numId="6">
    <w:abstractNumId w:val="10"/>
  </w:num>
  <w:num w:numId="7">
    <w:abstractNumId w:val="15"/>
  </w:num>
  <w:num w:numId="8">
    <w:abstractNumId w:val="6"/>
  </w:num>
  <w:num w:numId="9">
    <w:abstractNumId w:val="0"/>
  </w:num>
  <w:num w:numId="10">
    <w:abstractNumId w:val="11"/>
  </w:num>
  <w:num w:numId="11">
    <w:abstractNumId w:val="14"/>
  </w:num>
  <w:num w:numId="12">
    <w:abstractNumId w:val="2"/>
  </w:num>
  <w:num w:numId="13">
    <w:abstractNumId w:val="12"/>
  </w:num>
  <w:num w:numId="14">
    <w:abstractNumId w:val="4"/>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83" w:default="1">
    <w:name w:val="Normal"/>
    <w:link w:val="1851"/>
    <w:uiPriority w:val="0"/>
    <w:qFormat/>
    <w:pPr>
      <w:jc w:val="both"/>
      <w:widowControl w:val="off"/>
    </w:pPr>
    <w:rPr>
      <w:rFonts w:hint="default" w:ascii="等线" w:hAnsi="等线" w:eastAsia="等线" w:cs="Times New Roman"/>
      <w:sz w:val="21"/>
      <w:szCs w:val="22"/>
      <w:lang w:val="en-US" w:eastAsia="zh-CN" w:bidi="ar-SA"/>
    </w:rPr>
  </w:style>
  <w:style w:type="paragraph" w:styleId="1184">
    <w:name w:val="Heading 1"/>
    <w:basedOn w:val="1183"/>
    <w:next w:val="1183"/>
    <w:uiPriority w:val="9"/>
    <w:qFormat/>
    <w:pPr>
      <w:keepLines/>
      <w:keepNext/>
      <w:spacing w:before="480" w:after="200"/>
      <w:outlineLvl w:val="0"/>
    </w:pPr>
    <w:rPr>
      <w:rFonts w:ascii="Arial" w:hAnsi="Arial" w:eastAsia="Arial" w:cs="Arial"/>
      <w:sz w:val="40"/>
      <w:szCs w:val="40"/>
    </w:rPr>
  </w:style>
  <w:style w:type="paragraph" w:styleId="1185">
    <w:name w:val="Heading 2"/>
    <w:basedOn w:val="1183"/>
    <w:next w:val="1183"/>
    <w:uiPriority w:val="9"/>
    <w:unhideWhenUsed/>
    <w:qFormat/>
    <w:pPr>
      <w:keepLines/>
      <w:keepNext/>
      <w:spacing w:before="360" w:after="200"/>
      <w:outlineLvl w:val="1"/>
    </w:pPr>
    <w:rPr>
      <w:rFonts w:ascii="Arial" w:hAnsi="Arial" w:eastAsia="Arial" w:cs="Arial"/>
      <w:sz w:val="34"/>
    </w:rPr>
  </w:style>
  <w:style w:type="paragraph" w:styleId="1186">
    <w:name w:val="Heading 3"/>
    <w:basedOn w:val="1183"/>
    <w:next w:val="1183"/>
    <w:uiPriority w:val="9"/>
    <w:unhideWhenUsed/>
    <w:qFormat/>
    <w:pPr>
      <w:keepLines/>
      <w:keepNext/>
      <w:spacing w:before="320" w:after="200"/>
      <w:outlineLvl w:val="2"/>
    </w:pPr>
    <w:rPr>
      <w:rFonts w:ascii="Arial" w:hAnsi="Arial" w:eastAsia="Arial" w:cs="Arial"/>
      <w:sz w:val="30"/>
      <w:szCs w:val="30"/>
    </w:rPr>
  </w:style>
  <w:style w:type="paragraph" w:styleId="1187">
    <w:name w:val="Heading 4"/>
    <w:basedOn w:val="1183"/>
    <w:next w:val="1183"/>
    <w:uiPriority w:val="9"/>
    <w:unhideWhenUsed/>
    <w:qFormat/>
    <w:pPr>
      <w:keepLines/>
      <w:keepNext/>
      <w:spacing w:before="320" w:after="200"/>
      <w:outlineLvl w:val="3"/>
    </w:pPr>
    <w:rPr>
      <w:rFonts w:ascii="Arial" w:hAnsi="Arial" w:eastAsia="Arial" w:cs="Arial"/>
      <w:b/>
      <w:bCs/>
      <w:sz w:val="26"/>
      <w:szCs w:val="26"/>
    </w:rPr>
  </w:style>
  <w:style w:type="paragraph" w:styleId="1188">
    <w:name w:val="Heading 5"/>
    <w:basedOn w:val="1183"/>
    <w:next w:val="1183"/>
    <w:uiPriority w:val="9"/>
    <w:unhideWhenUsed/>
    <w:qFormat/>
    <w:pPr>
      <w:keepLines/>
      <w:keepNext/>
      <w:spacing w:before="320" w:after="200"/>
      <w:outlineLvl w:val="4"/>
    </w:pPr>
    <w:rPr>
      <w:rFonts w:ascii="Arial" w:hAnsi="Arial" w:eastAsia="Arial" w:cs="Arial"/>
      <w:b/>
      <w:bCs/>
      <w:sz w:val="24"/>
      <w:szCs w:val="24"/>
    </w:rPr>
  </w:style>
  <w:style w:type="paragraph" w:styleId="1189">
    <w:name w:val="Heading 6"/>
    <w:basedOn w:val="1183"/>
    <w:next w:val="1183"/>
    <w:link w:val="1279"/>
    <w:uiPriority w:val="9"/>
    <w:unhideWhenUsed/>
    <w:qFormat/>
    <w:pPr>
      <w:keepLines/>
      <w:keepNext/>
      <w:spacing w:before="320" w:after="200"/>
      <w:outlineLvl w:val="5"/>
    </w:pPr>
    <w:rPr>
      <w:rFonts w:ascii="Arial" w:hAnsi="Arial" w:eastAsia="Arial" w:cs="Arial"/>
      <w:b/>
      <w:bCs/>
      <w:sz w:val="22"/>
    </w:rPr>
  </w:style>
  <w:style w:type="paragraph" w:styleId="1190">
    <w:name w:val="Heading 7"/>
    <w:basedOn w:val="1183"/>
    <w:next w:val="1183"/>
    <w:link w:val="1280"/>
    <w:uiPriority w:val="9"/>
    <w:unhideWhenUsed/>
    <w:qFormat/>
    <w:pPr>
      <w:keepLines/>
      <w:keepNext/>
      <w:spacing w:before="320" w:after="200"/>
      <w:outlineLvl w:val="6"/>
    </w:pPr>
    <w:rPr>
      <w:rFonts w:ascii="Arial" w:hAnsi="Arial" w:eastAsia="Arial" w:cs="Arial"/>
      <w:b/>
      <w:bCs/>
      <w:i/>
      <w:iCs/>
      <w:sz w:val="22"/>
    </w:rPr>
  </w:style>
  <w:style w:type="paragraph" w:styleId="1191">
    <w:name w:val="Heading 8"/>
    <w:basedOn w:val="1183"/>
    <w:next w:val="1183"/>
    <w:link w:val="1281"/>
    <w:uiPriority w:val="9"/>
    <w:unhideWhenUsed/>
    <w:qFormat/>
    <w:pPr>
      <w:keepLines/>
      <w:keepNext/>
      <w:spacing w:before="320" w:after="200"/>
      <w:outlineLvl w:val="7"/>
    </w:pPr>
    <w:rPr>
      <w:rFonts w:ascii="Arial" w:hAnsi="Arial" w:eastAsia="Arial" w:cs="Arial"/>
      <w:i/>
      <w:iCs/>
      <w:sz w:val="22"/>
    </w:rPr>
  </w:style>
  <w:style w:type="paragraph" w:styleId="1192">
    <w:name w:val="Heading 9"/>
    <w:basedOn w:val="1183"/>
    <w:next w:val="1183"/>
    <w:link w:val="1282"/>
    <w:uiPriority w:val="9"/>
    <w:unhideWhenUsed/>
    <w:qFormat/>
    <w:pPr>
      <w:keepLines/>
      <w:keepNext/>
      <w:spacing w:before="320" w:after="200"/>
      <w:outlineLvl w:val="8"/>
    </w:pPr>
    <w:rPr>
      <w:rFonts w:ascii="Arial" w:hAnsi="Arial" w:eastAsia="Arial" w:cs="Arial"/>
      <w:i/>
      <w:iCs/>
      <w:szCs w:val="21"/>
    </w:rPr>
  </w:style>
  <w:style w:type="character" w:styleId="1193" w:default="1">
    <w:name w:val="Default Paragraph Font"/>
    <w:uiPriority w:val="1"/>
    <w:semiHidden/>
    <w:unhideWhenUsed/>
    <w:qFormat/>
  </w:style>
  <w:style w:type="table" w:styleId="1194" w:default="1">
    <w:name w:val="Normal Table"/>
    <w:uiPriority w:val="99"/>
    <w:semiHidden/>
    <w:unhideWhenUsed/>
    <w:qFormat/>
    <w:tblPr>
      <w:tblCellMar>
        <w:left w:w="108" w:type="dxa"/>
        <w:top w:w="0" w:type="dxa"/>
        <w:right w:w="108" w:type="dxa"/>
        <w:bottom w:w="0" w:type="dxa"/>
      </w:tblCellMar>
    </w:tblPr>
  </w:style>
  <w:style w:type="paragraph" w:styleId="1195">
    <w:name w:val="toc 7"/>
    <w:basedOn w:val="1183"/>
    <w:next w:val="1183"/>
    <w:uiPriority w:val="39"/>
    <w:unhideWhenUsed/>
    <w:qFormat/>
    <w:pPr>
      <w:ind w:left="1701"/>
      <w:spacing w:after="57"/>
    </w:pPr>
  </w:style>
  <w:style w:type="paragraph" w:styleId="1196">
    <w:name w:val="Normal Indent"/>
    <w:basedOn w:val="1183"/>
    <w:next w:val="1183"/>
    <w:uiPriority w:val="0"/>
    <w:qFormat/>
    <w:pPr>
      <w:ind w:firstLine="420"/>
    </w:pPr>
    <w:rPr>
      <w:szCs w:val="20"/>
    </w:rPr>
  </w:style>
  <w:style w:type="paragraph" w:styleId="1197">
    <w:name w:val="Caption"/>
    <w:basedOn w:val="1183"/>
    <w:next w:val="11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98">
    <w:name w:val="annotation text"/>
    <w:basedOn w:val="1183"/>
    <w:uiPriority w:val="0"/>
    <w:qFormat/>
    <w:pPr>
      <w:jc w:val="left"/>
      <w:spacing w:line="360" w:lineRule="auto"/>
    </w:pPr>
    <w:rPr>
      <w:rFonts w:ascii="Calibri" w:hAnsi="Calibri" w:eastAsia="微软雅黑"/>
      <w:szCs w:val="24"/>
      <w:lang w:val="zh-CN"/>
    </w:rPr>
  </w:style>
  <w:style w:type="paragraph" w:styleId="1199">
    <w:name w:val="Body Text"/>
    <w:basedOn w:val="1183"/>
    <w:next w:val="1183"/>
    <w:uiPriority w:val="0"/>
    <w:semiHidden/>
    <w:qFormat/>
    <w:rPr>
      <w:rFonts w:ascii="宋体" w:hAnsi="宋体" w:eastAsia="宋体" w:cs="宋体"/>
      <w:sz w:val="24"/>
      <w:szCs w:val="24"/>
      <w:lang w:eastAsia="en-US"/>
    </w:rPr>
  </w:style>
  <w:style w:type="paragraph" w:styleId="1200">
    <w:name w:val="Body Text Indent"/>
    <w:basedOn w:val="1183"/>
    <w:next w:val="1201"/>
    <w:uiPriority w:val="0"/>
    <w:qFormat/>
    <w:pPr>
      <w:ind w:firstLine="540"/>
      <w:spacing w:line="360" w:lineRule="auto"/>
      <w:widowControl/>
    </w:pPr>
    <w:rPr>
      <w:rFonts w:ascii="宋体" w:hAnsi="MS Sans Serif"/>
      <w:spacing w:val="12"/>
      <w:sz w:val="24"/>
    </w:rPr>
  </w:style>
  <w:style w:type="paragraph" w:styleId="1201">
    <w:name w:val="envelope return"/>
    <w:basedOn w:val="1183"/>
    <w:uiPriority w:val="0"/>
    <w:qFormat/>
    <w:rPr>
      <w:rFonts w:ascii="Arial" w:hAnsi="Arial"/>
    </w:rPr>
  </w:style>
  <w:style w:type="paragraph" w:styleId="1202">
    <w:name w:val="index 4"/>
    <w:basedOn w:val="1183"/>
    <w:next w:val="1183"/>
    <w:uiPriority w:val="99"/>
    <w:qFormat/>
    <w:pPr>
      <w:ind w:left="600"/>
    </w:pPr>
    <w:rPr>
      <w:szCs w:val="24"/>
    </w:rPr>
  </w:style>
  <w:style w:type="paragraph" w:styleId="1203">
    <w:name w:val="toc 5"/>
    <w:basedOn w:val="1183"/>
    <w:next w:val="1183"/>
    <w:uiPriority w:val="39"/>
    <w:unhideWhenUsed/>
    <w:qFormat/>
    <w:pPr>
      <w:ind w:left="1134"/>
      <w:spacing w:after="57"/>
    </w:pPr>
  </w:style>
  <w:style w:type="paragraph" w:styleId="1204">
    <w:name w:val="toc 3"/>
    <w:basedOn w:val="1183"/>
    <w:next w:val="1183"/>
    <w:uiPriority w:val="39"/>
    <w:unhideWhenUsed/>
    <w:qFormat/>
    <w:pPr>
      <w:ind w:left="567"/>
      <w:spacing w:after="57"/>
    </w:pPr>
  </w:style>
  <w:style w:type="paragraph" w:styleId="1205">
    <w:name w:val="Plain Text"/>
    <w:basedOn w:val="1183"/>
    <w:uiPriority w:val="0"/>
    <w:qFormat/>
    <w:rPr>
      <w:rFonts w:ascii="宋体" w:hAnsi="Courier New" w:cs="Courier New"/>
      <w:szCs w:val="21"/>
    </w:rPr>
  </w:style>
  <w:style w:type="paragraph" w:styleId="1206">
    <w:name w:val="toc 8"/>
    <w:basedOn w:val="1183"/>
    <w:next w:val="1183"/>
    <w:uiPriority w:val="39"/>
    <w:unhideWhenUsed/>
    <w:qFormat/>
    <w:pPr>
      <w:ind w:left="1984"/>
      <w:spacing w:after="57"/>
    </w:pPr>
  </w:style>
  <w:style w:type="paragraph" w:styleId="1207">
    <w:name w:val="endnote text"/>
    <w:basedOn w:val="1183"/>
    <w:link w:val="1396"/>
    <w:uiPriority w:val="99"/>
    <w:semiHidden/>
    <w:unhideWhenUsed/>
    <w:qFormat/>
    <w:rPr>
      <w:sz w:val="20"/>
    </w:rPr>
  </w:style>
  <w:style w:type="paragraph" w:styleId="1208">
    <w:name w:val="Footer"/>
    <w:basedOn w:val="1183"/>
    <w:next w:val="1183"/>
    <w:link w:val="1289"/>
    <w:uiPriority w:val="99"/>
    <w:unhideWhenUsed/>
    <w:qFormat/>
    <w:pPr>
      <w:tabs>
        <w:tab w:val="center" w:pos="7143" w:leader="none"/>
        <w:tab w:val="right" w:pos="14287" w:leader="none"/>
      </w:tabs>
    </w:pPr>
  </w:style>
  <w:style w:type="paragraph" w:styleId="1209">
    <w:name w:val="Header"/>
    <w:basedOn w:val="1183"/>
    <w:uiPriority w:val="99"/>
    <w:unhideWhenUsed/>
    <w:qFormat/>
    <w:pPr>
      <w:tabs>
        <w:tab w:val="center" w:pos="7143" w:leader="none"/>
        <w:tab w:val="right" w:pos="14287" w:leader="none"/>
      </w:tabs>
    </w:pPr>
  </w:style>
  <w:style w:type="paragraph" w:styleId="1210">
    <w:name w:val="toc 1"/>
    <w:basedOn w:val="1183"/>
    <w:next w:val="1183"/>
    <w:uiPriority w:val="39"/>
    <w:unhideWhenUsed/>
    <w:qFormat/>
    <w:pPr>
      <w:spacing w:after="57"/>
    </w:pPr>
  </w:style>
  <w:style w:type="paragraph" w:styleId="1211">
    <w:name w:val="toc 4"/>
    <w:basedOn w:val="1183"/>
    <w:next w:val="1183"/>
    <w:uiPriority w:val="39"/>
    <w:unhideWhenUsed/>
    <w:qFormat/>
    <w:pPr>
      <w:ind w:left="850"/>
      <w:spacing w:after="57"/>
    </w:pPr>
  </w:style>
  <w:style w:type="paragraph" w:styleId="1212">
    <w:name w:val="Subtitle"/>
    <w:basedOn w:val="1183"/>
    <w:next w:val="1183"/>
    <w:link w:val="1284"/>
    <w:uiPriority w:val="11"/>
    <w:qFormat/>
    <w:pPr>
      <w:spacing w:before="200" w:after="200"/>
    </w:pPr>
    <w:rPr>
      <w:sz w:val="24"/>
      <w:szCs w:val="24"/>
    </w:rPr>
  </w:style>
  <w:style w:type="paragraph" w:styleId="1213">
    <w:name w:val="List"/>
    <w:basedOn w:val="1183"/>
    <w:uiPriority w:val="0"/>
    <w:qFormat/>
    <w:pPr>
      <w:ind w:left="420" w:hanging="420"/>
      <w:spacing w:after="20" w:line="288" w:lineRule="auto"/>
      <w:tabs>
        <w:tab w:val="left" w:pos="420" w:leader="none"/>
      </w:tabs>
    </w:pPr>
    <w:rPr>
      <w:szCs w:val="20"/>
      <w:lang w:val="en-GB"/>
    </w:rPr>
  </w:style>
  <w:style w:type="paragraph" w:styleId="1214">
    <w:name w:val="footnote text"/>
    <w:basedOn w:val="1183"/>
    <w:uiPriority w:val="99"/>
    <w:semiHidden/>
    <w:unhideWhenUsed/>
    <w:qFormat/>
    <w:pPr>
      <w:spacing w:after="40"/>
    </w:pPr>
    <w:rPr>
      <w:sz w:val="18"/>
    </w:rPr>
  </w:style>
  <w:style w:type="paragraph" w:styleId="1215">
    <w:name w:val="toc 6"/>
    <w:basedOn w:val="1183"/>
    <w:next w:val="1183"/>
    <w:uiPriority w:val="39"/>
    <w:unhideWhenUsed/>
    <w:qFormat/>
    <w:pPr>
      <w:ind w:left="1417"/>
      <w:spacing w:after="57"/>
    </w:pPr>
  </w:style>
  <w:style w:type="paragraph" w:styleId="1216">
    <w:name w:val="table of figures"/>
    <w:basedOn w:val="1183"/>
    <w:next w:val="1183"/>
    <w:uiPriority w:val="99"/>
    <w:unhideWhenUsed/>
    <w:qFormat/>
  </w:style>
  <w:style w:type="paragraph" w:styleId="1217">
    <w:name w:val="toc 2"/>
    <w:basedOn w:val="1183"/>
    <w:next w:val="1183"/>
    <w:uiPriority w:val="39"/>
    <w:unhideWhenUsed/>
    <w:qFormat/>
    <w:pPr>
      <w:ind w:left="283"/>
      <w:spacing w:after="57"/>
    </w:pPr>
  </w:style>
  <w:style w:type="paragraph" w:styleId="1218">
    <w:name w:val="toc 9"/>
    <w:basedOn w:val="1183"/>
    <w:next w:val="1183"/>
    <w:uiPriority w:val="39"/>
    <w:unhideWhenUsed/>
    <w:qFormat/>
    <w:pPr>
      <w:ind w:left="2268"/>
      <w:spacing w:after="57"/>
    </w:pPr>
  </w:style>
  <w:style w:type="paragraph" w:styleId="1219">
    <w:name w:val="Title"/>
    <w:basedOn w:val="1183"/>
    <w:next w:val="1183"/>
    <w:uiPriority w:val="10"/>
    <w:qFormat/>
    <w:pPr>
      <w:contextualSpacing/>
      <w:spacing w:before="300" w:after="200"/>
    </w:pPr>
    <w:rPr>
      <w:sz w:val="48"/>
      <w:szCs w:val="48"/>
    </w:rPr>
  </w:style>
  <w:style w:type="paragraph" w:styleId="1220">
    <w:name w:val="Body Text First Indent"/>
    <w:basedOn w:val="1199"/>
    <w:uiPriority w:val="0"/>
    <w:unhideWhenUsed/>
    <w:qFormat/>
    <w:pPr>
      <w:ind w:firstLine="420"/>
      <w:spacing w:after="120"/>
    </w:pPr>
    <w:rPr>
      <w:rFonts w:ascii="等线" w:hAnsi="等线" w:eastAsia="等线"/>
      <w:sz w:val="21"/>
    </w:rPr>
  </w:style>
  <w:style w:type="paragraph" w:styleId="1221">
    <w:name w:val="Body Text First Indent 2"/>
    <w:basedOn w:val="1200"/>
    <w:uiPriority w:val="0"/>
    <w:qFormat/>
    <w:pPr>
      <w:ind w:left="420" w:firstLine="420"/>
      <w:spacing w:after="120" w:line="240" w:lineRule="auto"/>
      <w:widowControl w:val="off"/>
    </w:pPr>
    <w:rPr>
      <w:rFonts w:ascii="Times New Roman" w:hAnsi="Times New Roman"/>
      <w:spacing w:val="0"/>
      <w:sz w:val="20"/>
    </w:rPr>
  </w:style>
  <w:style w:type="table" w:styleId="12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23">
    <w:name w:val="endnote reference"/>
    <w:uiPriority w:val="99"/>
    <w:semiHidden/>
    <w:unhideWhenUsed/>
    <w:qFormat/>
    <w:rPr>
      <w:vertAlign w:val="superscript"/>
    </w:rPr>
  </w:style>
  <w:style w:type="character" w:styleId="1224">
    <w:name w:val="Hyperlink"/>
    <w:uiPriority w:val="99"/>
    <w:unhideWhenUsed/>
    <w:qFormat/>
    <w:rPr>
      <w:color w:val="0000ff" w:themeColor="hyperlink"/>
      <w:u w:val="single"/>
      <w14:textFill>
        <w14:solidFill>
          <w14:schemeClr w14:val="hlink"/>
        </w14:solidFill>
      </w14:textFill>
    </w:rPr>
  </w:style>
  <w:style w:type="character" w:styleId="1225">
    <w:name w:val="footnote reference"/>
    <w:uiPriority w:val="99"/>
    <w:unhideWhenUsed/>
    <w:qFormat/>
    <w:rPr>
      <w:vertAlign w:val="superscript"/>
    </w:rPr>
  </w:style>
  <w:style w:type="paragraph" w:styleId="1226" w:customStyle="1">
    <w:name w:val="列出段落1"/>
    <w:basedOn w:val="1183"/>
    <w:uiPriority w:val="0"/>
    <w:qFormat/>
    <w:pPr>
      <w:ind w:firstLine="420"/>
    </w:pPr>
    <w:rPr>
      <w:rFonts w:ascii="Calibri" w:hAnsi="Calibri" w:eastAsia="宋体"/>
    </w:rPr>
  </w:style>
  <w:style w:type="table" w:styleId="1227" w:customStyle="1">
    <w:name w:val="Plain Table 1"/>
    <w:basedOn w:val="11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8" w:customStyle="1">
    <w:name w:val="Plain Table 2"/>
    <w:basedOn w:val="11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9" w:customStyle="1">
    <w:name w:val="Plain Table 3"/>
    <w:basedOn w:val="11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0" w:customStyle="1">
    <w:name w:val="Plain Table 4"/>
    <w:basedOn w:val="11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1" w:customStyle="1">
    <w:name w:val="Plain Table 5"/>
    <w:basedOn w:val="11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2" w:customStyle="1">
    <w:name w:val="Grid Table 1 Light"/>
    <w:basedOn w:val="11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33" w:customStyle="1">
    <w:name w:val="Grid Table 2"/>
    <w:basedOn w:val="11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4" w:customStyle="1">
    <w:name w:val="Grid Table 3"/>
    <w:basedOn w:val="11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5" w:customStyle="1">
    <w:name w:val="Grid Table 4"/>
    <w:basedOn w:val="11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6" w:customStyle="1">
    <w:name w:val="Grid Table 5 Dark"/>
    <w:basedOn w:val="11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37" w:customStyle="1">
    <w:name w:val="Grid Table 6 Colorful"/>
    <w:basedOn w:val="11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38" w:customStyle="1">
    <w:name w:val="Grid Table 7 Colorful"/>
    <w:basedOn w:val="11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9" w:customStyle="1">
    <w:name w:val="List Table 1 Light"/>
    <w:basedOn w:val="11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0" w:customStyle="1">
    <w:name w:val="List Table 2"/>
    <w:basedOn w:val="11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41" w:customStyle="1">
    <w:name w:val="List Table 3"/>
    <w:basedOn w:val="11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2" w:customStyle="1">
    <w:name w:val="List Table 4"/>
    <w:basedOn w:val="11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3" w:customStyle="1">
    <w:name w:val="List Table 5 Dark"/>
    <w:basedOn w:val="11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4" w:customStyle="1">
    <w:name w:val="List Table 6 Colorful"/>
    <w:basedOn w:val="11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5" w:customStyle="1">
    <w:name w:val="List Table 7 Colorful"/>
    <w:basedOn w:val="11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46" w:customStyle="1">
    <w:name w:val="TOC Heading"/>
    <w:uiPriority w:val="39"/>
    <w:unhideWhenUsed/>
    <w:qFormat/>
    <w:rPr>
      <w:rFonts w:hint="default" w:ascii="Times New Roman" w:hAnsi="Times New Roman" w:eastAsia="宋体" w:cs="Times New Roman"/>
    </w:rPr>
  </w:style>
  <w:style w:type="paragraph" w:styleId="1247" w:customStyle="1">
    <w:name w:val="TOC Heading1"/>
    <w:next w:val="1183"/>
    <w:uiPriority w:val="0"/>
    <w:qFormat/>
    <w:rPr>
      <w:rFonts w:hint="default" w:ascii="Times New Roman" w:hAnsi="Times New Roman" w:eastAsia="宋体" w:cs="Times New Roman"/>
      <w:sz w:val="32"/>
      <w:lang w:val="en-US" w:eastAsia="zh-CN" w:bidi="ar-SA"/>
    </w:rPr>
  </w:style>
  <w:style w:type="paragraph" w:styleId="12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49" w:customStyle="1">
    <w:name w:val="Heading 6 Char"/>
    <w:basedOn w:val="1193"/>
    <w:uiPriority w:val="9"/>
    <w:qFormat/>
    <w:rPr>
      <w:rFonts w:ascii="Arial" w:hAnsi="Arial" w:eastAsia="Arial" w:cs="Arial"/>
      <w:b/>
      <w:bCs/>
      <w:sz w:val="22"/>
      <w:szCs w:val="22"/>
    </w:rPr>
  </w:style>
  <w:style w:type="character" w:styleId="1250" w:customStyle="1">
    <w:name w:val="Heading 7 Char"/>
    <w:basedOn w:val="1193"/>
    <w:uiPriority w:val="9"/>
    <w:qFormat/>
    <w:rPr>
      <w:rFonts w:ascii="Arial" w:hAnsi="Arial" w:eastAsia="Arial" w:cs="Arial"/>
      <w:b/>
      <w:bCs/>
      <w:i/>
      <w:iCs/>
      <w:sz w:val="22"/>
      <w:szCs w:val="22"/>
    </w:rPr>
  </w:style>
  <w:style w:type="character" w:styleId="1251" w:customStyle="1">
    <w:name w:val="Heading 8 Char"/>
    <w:basedOn w:val="1193"/>
    <w:uiPriority w:val="9"/>
    <w:qFormat/>
    <w:rPr>
      <w:rFonts w:ascii="Arial" w:hAnsi="Arial" w:eastAsia="Arial" w:cs="Arial"/>
      <w:i/>
      <w:iCs/>
      <w:sz w:val="22"/>
      <w:szCs w:val="22"/>
    </w:rPr>
  </w:style>
  <w:style w:type="character" w:styleId="1252" w:customStyle="1">
    <w:name w:val="Heading 9 Char"/>
    <w:basedOn w:val="1193"/>
    <w:uiPriority w:val="9"/>
    <w:qFormat/>
    <w:rPr>
      <w:rFonts w:ascii="Arial" w:hAnsi="Arial" w:eastAsia="Arial" w:cs="Arial"/>
      <w:i/>
      <w:iCs/>
      <w:sz w:val="21"/>
      <w:szCs w:val="21"/>
    </w:rPr>
  </w:style>
  <w:style w:type="character" w:styleId="1253" w:customStyle="1">
    <w:name w:val="Subtitle Char"/>
    <w:basedOn w:val="1193"/>
    <w:uiPriority w:val="11"/>
    <w:qFormat/>
    <w:rPr>
      <w:sz w:val="24"/>
      <w:szCs w:val="24"/>
    </w:rPr>
  </w:style>
  <w:style w:type="character" w:styleId="1254" w:customStyle="1">
    <w:name w:val="Quote Char"/>
    <w:uiPriority w:val="29"/>
    <w:qFormat/>
    <w:rPr>
      <w:i/>
    </w:rPr>
  </w:style>
  <w:style w:type="character" w:styleId="1255" w:customStyle="1">
    <w:name w:val="Intense Quote Char"/>
    <w:uiPriority w:val="30"/>
    <w:qFormat/>
    <w:rPr>
      <w:i/>
    </w:rPr>
  </w:style>
  <w:style w:type="character" w:styleId="1256" w:customStyle="1">
    <w:name w:val="Caption Char"/>
    <w:uiPriority w:val="99"/>
    <w:qFormat/>
  </w:style>
  <w:style w:type="table" w:styleId="1257" w:customStyle="1">
    <w:name w:val="无格式表格 11"/>
    <w:basedOn w:val="11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8" w:customStyle="1">
    <w:name w:val="无格式表格 21"/>
    <w:basedOn w:val="11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9" w:customStyle="1">
    <w:name w:val="无格式表格 31"/>
    <w:basedOn w:val="119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0" w:customStyle="1">
    <w:name w:val="无格式表格 41"/>
    <w:basedOn w:val="119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1" w:customStyle="1">
    <w:name w:val="无格式表格 51"/>
    <w:basedOn w:val="119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62" w:customStyle="1">
    <w:name w:val="网格表 1 浅色1"/>
    <w:basedOn w:val="11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63" w:customStyle="1">
    <w:name w:val="网格表 21"/>
    <w:basedOn w:val="11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64" w:customStyle="1">
    <w:name w:val="网格表 31"/>
    <w:basedOn w:val="11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5" w:customStyle="1">
    <w:name w:val="网格表 41"/>
    <w:basedOn w:val="11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66" w:customStyle="1">
    <w:name w:val="网格表 5 深色1"/>
    <w:basedOn w:val="11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67" w:customStyle="1">
    <w:name w:val="网格表 6 彩色1"/>
    <w:basedOn w:val="11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68" w:customStyle="1">
    <w:name w:val="网格表 7 彩色1"/>
    <w:basedOn w:val="11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9" w:customStyle="1">
    <w:name w:val="清单表 1 浅色1"/>
    <w:basedOn w:val="119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0" w:customStyle="1">
    <w:name w:val="清单表 21"/>
    <w:basedOn w:val="11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1" w:customStyle="1">
    <w:name w:val="清单表 31"/>
    <w:basedOn w:val="11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2" w:customStyle="1">
    <w:name w:val="清单表 41"/>
    <w:basedOn w:val="11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3" w:customStyle="1">
    <w:name w:val="清单表 5 深色1"/>
    <w:basedOn w:val="11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4" w:customStyle="1">
    <w:name w:val="清单表 6 彩色1"/>
    <w:basedOn w:val="119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75" w:customStyle="1">
    <w:name w:val="清单表 7 彩色1"/>
    <w:basedOn w:val="119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76" w:customStyle="1">
    <w:name w:val="Endnote Text Char"/>
    <w:uiPriority w:val="99"/>
    <w:qFormat/>
    <w:rPr>
      <w:sz w:val="20"/>
    </w:rPr>
  </w:style>
  <w:style w:type="paragraph" w:styleId="1277" w:customStyle="1">
    <w:name w:val="TOC 标题1"/>
    <w:uiPriority w:val="39"/>
    <w:unhideWhenUsed/>
    <w:qFormat/>
    <w:rPr>
      <w:rFonts w:hint="default" w:ascii="等线" w:hAnsi="等线" w:eastAsia="等线" w:cs="Times New Roman"/>
      <w:lang w:val="en-US" w:eastAsia="zh-CN" w:bidi="ar-SA"/>
    </w:rPr>
  </w:style>
  <w:style w:type="paragraph" w:styleId="1278" w:customStyle="1">
    <w:name w:val="标题 31"/>
    <w:basedOn w:val="1183"/>
    <w:next w:val="1183"/>
    <w:link w:val="140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279" w:customStyle="1">
    <w:name w:val="标题 6 字符2"/>
    <w:link w:val="1189"/>
    <w:uiPriority w:val="9"/>
    <w:qFormat/>
    <w:rPr>
      <w:rFonts w:ascii="Arial" w:hAnsi="Arial" w:eastAsia="Arial" w:cs="Arial"/>
      <w:b/>
      <w:bCs/>
      <w:sz w:val="22"/>
      <w:szCs w:val="22"/>
    </w:rPr>
  </w:style>
  <w:style w:type="character" w:styleId="1280" w:customStyle="1">
    <w:name w:val="标题 7 字符2"/>
    <w:link w:val="1190"/>
    <w:uiPriority w:val="9"/>
    <w:qFormat/>
    <w:rPr>
      <w:rFonts w:ascii="Arial" w:hAnsi="Arial" w:eastAsia="Arial" w:cs="Arial"/>
      <w:b/>
      <w:bCs/>
      <w:i/>
      <w:iCs/>
      <w:sz w:val="22"/>
      <w:szCs w:val="22"/>
    </w:rPr>
  </w:style>
  <w:style w:type="character" w:styleId="1281" w:customStyle="1">
    <w:name w:val="标题 8 字符2"/>
    <w:link w:val="1191"/>
    <w:uiPriority w:val="9"/>
    <w:qFormat/>
    <w:rPr>
      <w:rFonts w:ascii="Arial" w:hAnsi="Arial" w:eastAsia="Arial" w:cs="Arial"/>
      <w:i/>
      <w:iCs/>
      <w:sz w:val="22"/>
      <w:szCs w:val="22"/>
    </w:rPr>
  </w:style>
  <w:style w:type="character" w:styleId="1282" w:customStyle="1">
    <w:name w:val="标题 9 字符2"/>
    <w:link w:val="1192"/>
    <w:uiPriority w:val="9"/>
    <w:qFormat/>
    <w:rPr>
      <w:rFonts w:ascii="Arial" w:hAnsi="Arial" w:eastAsia="Arial" w:cs="Arial"/>
      <w:i/>
      <w:iCs/>
      <w:sz w:val="21"/>
      <w:szCs w:val="21"/>
    </w:rPr>
  </w:style>
  <w:style w:type="paragraph" w:styleId="1283">
    <w:name w:val="No Spacing"/>
    <w:uiPriority w:val="1"/>
    <w:qFormat/>
    <w:rPr>
      <w:rFonts w:hint="default" w:ascii="等线" w:hAnsi="等线" w:eastAsia="等线" w:cs="Times New Roman"/>
      <w:lang w:val="en-US" w:eastAsia="zh-CN" w:bidi="ar-SA"/>
    </w:rPr>
  </w:style>
  <w:style w:type="character" w:styleId="1284" w:customStyle="1">
    <w:name w:val="副标题 字符2"/>
    <w:link w:val="1212"/>
    <w:uiPriority w:val="11"/>
    <w:qFormat/>
    <w:rPr>
      <w:sz w:val="24"/>
      <w:szCs w:val="24"/>
    </w:rPr>
  </w:style>
  <w:style w:type="paragraph" w:styleId="1285">
    <w:name w:val="Quote"/>
    <w:basedOn w:val="1183"/>
    <w:next w:val="1183"/>
    <w:link w:val="1286"/>
    <w:uiPriority w:val="29"/>
    <w:qFormat/>
    <w:pPr>
      <w:ind w:left="720" w:right="720"/>
    </w:pPr>
    <w:rPr>
      <w:i/>
    </w:rPr>
  </w:style>
  <w:style w:type="character" w:styleId="1286" w:customStyle="1">
    <w:name w:val="引用 字符2"/>
    <w:link w:val="1285"/>
    <w:uiPriority w:val="29"/>
    <w:qFormat/>
    <w:rPr>
      <w:i/>
    </w:rPr>
  </w:style>
  <w:style w:type="paragraph" w:styleId="1287">
    <w:name w:val="Intense Quote"/>
    <w:basedOn w:val="1183"/>
    <w:next w:val="1183"/>
    <w:link w:val="12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8" w:customStyle="1">
    <w:name w:val="明显引用 字符2"/>
    <w:link w:val="1287"/>
    <w:uiPriority w:val="30"/>
    <w:qFormat/>
    <w:rPr>
      <w:i/>
    </w:rPr>
  </w:style>
  <w:style w:type="character" w:styleId="1289" w:customStyle="1">
    <w:name w:val="页脚 字符3"/>
    <w:link w:val="1208"/>
    <w:uiPriority w:val="99"/>
    <w:qFormat/>
  </w:style>
  <w:style w:type="table" w:styleId="12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96" w:customStyle="1">
    <w:name w:val="尾注文本 字符"/>
    <w:link w:val="1207"/>
    <w:uiPriority w:val="99"/>
    <w:qFormat/>
    <w:rPr>
      <w:sz w:val="20"/>
    </w:rPr>
  </w:style>
  <w:style w:type="paragraph" w:styleId="1397" w:customStyle="1">
    <w:name w:val="TOC 标题111"/>
    <w:uiPriority w:val="39"/>
    <w:unhideWhenUsed/>
    <w:qFormat/>
    <w:rPr>
      <w:rFonts w:hint="default" w:ascii="等线" w:hAnsi="等线" w:eastAsia="等线" w:cs="Times New Roman"/>
      <w:lang w:val="en-US" w:eastAsia="zh-CN" w:bidi="ar-SA"/>
    </w:rPr>
  </w:style>
  <w:style w:type="paragraph" w:styleId="1398" w:customStyle="1">
    <w:name w:val="标题 11"/>
    <w:basedOn w:val="1183"/>
    <w:next w:val="1183"/>
    <w:link w:val="1410"/>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399" w:customStyle="1">
    <w:name w:val="标题 21"/>
    <w:basedOn w:val="1183"/>
    <w:next w:val="1183"/>
    <w:link w:val="1411"/>
    <w:uiPriority w:val="9"/>
    <w:qFormat/>
    <w:pPr>
      <w:keepLines/>
      <w:keepNext/>
      <w:spacing w:before="260" w:after="260" w:line="413" w:lineRule="auto"/>
      <w:outlineLvl w:val="1"/>
    </w:pPr>
    <w:rPr>
      <w:rFonts w:ascii="Arial" w:hAnsi="Arial" w:eastAsia="黑体"/>
      <w:b/>
      <w:bCs/>
      <w:sz w:val="32"/>
      <w:szCs w:val="32"/>
    </w:rPr>
  </w:style>
  <w:style w:type="paragraph" w:styleId="1400" w:customStyle="1">
    <w:name w:val="标题 41"/>
    <w:basedOn w:val="1183"/>
    <w:next w:val="1401"/>
    <w:link w:val="1412"/>
    <w:uiPriority w:val="0"/>
    <w:qFormat/>
    <w:pPr>
      <w:jc w:val="center"/>
      <w:keepLines/>
      <w:keepNext/>
      <w:spacing w:before="120" w:after="120" w:line="360" w:lineRule="auto"/>
      <w:widowControl/>
      <w:outlineLvl w:val="3"/>
    </w:pPr>
    <w:rPr>
      <w:rFonts w:ascii="Arial" w:hAnsi="Arial" w:eastAsia="黑体"/>
      <w:sz w:val="28"/>
      <w:szCs w:val="20"/>
    </w:rPr>
  </w:style>
  <w:style w:type="paragraph" w:styleId="1401" w:customStyle="1">
    <w:name w:val="正文缩进1"/>
    <w:basedOn w:val="1183"/>
    <w:next w:val="1183"/>
    <w:link w:val="1418"/>
    <w:uiPriority w:val="0"/>
    <w:qFormat/>
    <w:pPr>
      <w:ind w:firstLine="420"/>
    </w:pPr>
    <w:rPr>
      <w:rFonts w:ascii="Times New Roman" w:hAnsi="Times New Roman" w:eastAsia="宋体"/>
      <w:szCs w:val="20"/>
    </w:rPr>
  </w:style>
  <w:style w:type="paragraph" w:styleId="1402" w:customStyle="1">
    <w:name w:val="标题 51"/>
    <w:basedOn w:val="1183"/>
    <w:next w:val="1183"/>
    <w:link w:val="1413"/>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403" w:customStyle="1">
    <w:name w:val="标题 61"/>
    <w:basedOn w:val="1183"/>
    <w:next w:val="1183"/>
    <w:link w:val="1414"/>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404" w:customStyle="1">
    <w:name w:val="标题 71"/>
    <w:basedOn w:val="1183"/>
    <w:next w:val="1183"/>
    <w:link w:val="1415"/>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405" w:customStyle="1">
    <w:name w:val="标题 81"/>
    <w:basedOn w:val="1183"/>
    <w:next w:val="1183"/>
    <w:link w:val="1416"/>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406" w:customStyle="1">
    <w:name w:val="标题 91"/>
    <w:basedOn w:val="1183"/>
    <w:next w:val="1183"/>
    <w:link w:val="1417"/>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407" w:customStyle="1">
    <w:name w:val="默认段落字体1"/>
    <w:uiPriority w:val="1"/>
    <w:unhideWhenUsed/>
    <w:qFormat/>
  </w:style>
  <w:style w:type="table" w:styleId="1408" w:customStyle="1">
    <w:name w:val="普通表格1"/>
    <w:uiPriority w:val="99"/>
    <w:unhideWhenUsed/>
    <w:qFormat/>
    <w:tblPr>
      <w:tblCellMar>
        <w:left w:w="0" w:type="dxa"/>
        <w:top w:w="0" w:type="dxa"/>
        <w:right w:w="0" w:type="dxa"/>
        <w:bottom w:w="0" w:type="dxa"/>
      </w:tblCellMar>
    </w:tblPr>
  </w:style>
  <w:style w:type="character" w:styleId="1409" w:customStyle="1">
    <w:name w:val="标题 3 字符1"/>
    <w:link w:val="1278"/>
    <w:uiPriority w:val="0"/>
    <w:qFormat/>
    <w:rPr>
      <w:rFonts w:ascii="Times New Roman" w:hAnsi="Times New Roman" w:eastAsia="宋体" w:cs="Times New Roman"/>
      <w:b/>
      <w:sz w:val="32"/>
      <w:szCs w:val="20"/>
    </w:rPr>
  </w:style>
  <w:style w:type="character" w:styleId="1410" w:customStyle="1">
    <w:name w:val="标题 1 字符1"/>
    <w:link w:val="1398"/>
    <w:uiPriority w:val="9"/>
    <w:qFormat/>
    <w:rPr>
      <w:rFonts w:ascii="黑体" w:hAnsi="Times New Roman" w:eastAsia="黑体" w:cs="Times New Roman"/>
      <w:sz w:val="52"/>
      <w:szCs w:val="20"/>
    </w:rPr>
  </w:style>
  <w:style w:type="character" w:styleId="1411" w:customStyle="1">
    <w:name w:val="标题 2 字符1"/>
    <w:link w:val="1399"/>
    <w:uiPriority w:val="9"/>
    <w:qFormat/>
    <w:rPr>
      <w:rFonts w:ascii="Arial" w:hAnsi="Arial" w:eastAsia="黑体" w:cs="Times New Roman"/>
      <w:b/>
      <w:bCs/>
      <w:sz w:val="32"/>
      <w:szCs w:val="32"/>
    </w:rPr>
  </w:style>
  <w:style w:type="character" w:styleId="1412" w:customStyle="1">
    <w:name w:val="标题 4 字符1"/>
    <w:link w:val="1400"/>
    <w:uiPriority w:val="0"/>
    <w:qFormat/>
    <w:rPr>
      <w:rFonts w:ascii="Arial" w:hAnsi="Arial" w:eastAsia="黑体" w:cs="Times New Roman"/>
      <w:sz w:val="28"/>
      <w:szCs w:val="20"/>
    </w:rPr>
  </w:style>
  <w:style w:type="character" w:styleId="1413" w:customStyle="1">
    <w:name w:val="标题 5 字符1"/>
    <w:link w:val="1402"/>
    <w:uiPriority w:val="9"/>
    <w:qFormat/>
    <w:rPr>
      <w:rFonts w:ascii="宋体" w:hAnsi="宋体" w:eastAsia="宋体" w:cs="Times New Roman"/>
      <w:b/>
      <w:sz w:val="24"/>
      <w:szCs w:val="20"/>
    </w:rPr>
  </w:style>
  <w:style w:type="character" w:styleId="1414" w:customStyle="1">
    <w:name w:val="标题 6 字符1"/>
    <w:link w:val="1403"/>
    <w:uiPriority w:val="9"/>
    <w:qFormat/>
    <w:rPr>
      <w:rFonts w:ascii="Arial" w:hAnsi="Arial" w:eastAsia="黑体" w:cs="Times New Roman"/>
      <w:b/>
      <w:bCs/>
      <w:sz w:val="24"/>
      <w:szCs w:val="24"/>
    </w:rPr>
  </w:style>
  <w:style w:type="character" w:styleId="1415" w:customStyle="1">
    <w:name w:val="标题 7 字符1"/>
    <w:link w:val="1404"/>
    <w:uiPriority w:val="9"/>
    <w:qFormat/>
    <w:rPr>
      <w:rFonts w:ascii="Times New Roman" w:hAnsi="Times New Roman" w:eastAsia="宋体" w:cs="Times New Roman"/>
      <w:b/>
      <w:bCs/>
      <w:sz w:val="24"/>
      <w:szCs w:val="24"/>
    </w:rPr>
  </w:style>
  <w:style w:type="character" w:styleId="1416" w:customStyle="1">
    <w:name w:val="标题 8 字符1"/>
    <w:link w:val="1405"/>
    <w:uiPriority w:val="9"/>
    <w:qFormat/>
    <w:rPr>
      <w:rFonts w:ascii="Arial" w:hAnsi="Arial" w:eastAsia="黑体" w:cs="Times New Roman"/>
      <w:sz w:val="24"/>
      <w:szCs w:val="24"/>
    </w:rPr>
  </w:style>
  <w:style w:type="character" w:styleId="1417" w:customStyle="1">
    <w:name w:val="标题 9 字符1"/>
    <w:link w:val="1406"/>
    <w:uiPriority w:val="0"/>
    <w:qFormat/>
    <w:rPr>
      <w:rFonts w:ascii="Arial" w:hAnsi="Arial" w:eastAsia="黑体" w:cs="Times New Roman"/>
      <w:szCs w:val="21"/>
    </w:rPr>
  </w:style>
  <w:style w:type="character" w:styleId="1418" w:customStyle="1">
    <w:name w:val="正文缩进 字符1"/>
    <w:link w:val="1401"/>
    <w:uiPriority w:val="0"/>
    <w:qFormat/>
    <w:rPr>
      <w:rFonts w:ascii="Times New Roman" w:hAnsi="Times New Roman" w:eastAsia="宋体" w:cs="Times New Roman"/>
      <w:szCs w:val="20"/>
    </w:rPr>
  </w:style>
  <w:style w:type="paragraph" w:styleId="1419" w:customStyle="1">
    <w:name w:val="题注1"/>
    <w:basedOn w:val="1183"/>
    <w:next w:val="1183"/>
    <w:uiPriority w:val="99"/>
    <w:qFormat/>
    <w:rPr>
      <w:rFonts w:ascii="Cambria" w:hAnsi="Cambria" w:eastAsia="黑体"/>
      <w:sz w:val="20"/>
      <w:szCs w:val="20"/>
    </w:rPr>
  </w:style>
  <w:style w:type="paragraph" w:styleId="1420" w:customStyle="1">
    <w:name w:val="文档结构图1"/>
    <w:basedOn w:val="1183"/>
    <w:link w:val="1421"/>
    <w:uiPriority w:val="99"/>
    <w:qFormat/>
    <w:pPr>
      <w:shd w:val="clear" w:color="auto" w:fill="000080"/>
    </w:pPr>
    <w:rPr>
      <w:rFonts w:ascii="Times New Roman" w:hAnsi="Times New Roman" w:eastAsia="宋体"/>
      <w:szCs w:val="20"/>
    </w:rPr>
  </w:style>
  <w:style w:type="character" w:styleId="1421" w:customStyle="1">
    <w:name w:val="文档结构图 字符2"/>
    <w:link w:val="1420"/>
    <w:uiPriority w:val="99"/>
    <w:qFormat/>
    <w:rPr>
      <w:rFonts w:ascii="Times New Roman" w:hAnsi="Times New Roman" w:eastAsia="宋体" w:cs="Times New Roman"/>
      <w:szCs w:val="20"/>
      <w:shd w:val="clear" w:color="auto" w:fill="000080"/>
    </w:rPr>
  </w:style>
  <w:style w:type="paragraph" w:styleId="1422" w:customStyle="1">
    <w:name w:val="批注文字1"/>
    <w:basedOn w:val="1183"/>
    <w:link w:val="1423"/>
    <w:uiPriority w:val="99"/>
    <w:qFormat/>
    <w:pPr>
      <w:jc w:val="left"/>
      <w:spacing w:line="360" w:lineRule="atLeast"/>
    </w:pPr>
    <w:rPr>
      <w:rFonts w:ascii="Times New Roman" w:hAnsi="Times New Roman" w:eastAsia="宋体"/>
      <w:sz w:val="24"/>
      <w:szCs w:val="20"/>
    </w:rPr>
  </w:style>
  <w:style w:type="character" w:styleId="1423" w:customStyle="1">
    <w:name w:val="批注文字 字符2"/>
    <w:link w:val="1422"/>
    <w:uiPriority w:val="99"/>
    <w:qFormat/>
    <w:rPr>
      <w:rFonts w:ascii="Times New Roman" w:hAnsi="Times New Roman" w:eastAsia="宋体" w:cs="Times New Roman"/>
      <w:sz w:val="24"/>
      <w:szCs w:val="20"/>
    </w:rPr>
  </w:style>
  <w:style w:type="paragraph" w:styleId="1424" w:customStyle="1">
    <w:name w:val="正文文本 31"/>
    <w:basedOn w:val="1183"/>
    <w:link w:val="1425"/>
    <w:uiPriority w:val="0"/>
    <w:qFormat/>
    <w:rPr>
      <w:rFonts w:ascii="宋体" w:hAnsi="Times New Roman" w:eastAsia="宋体"/>
      <w:sz w:val="24"/>
      <w:szCs w:val="20"/>
    </w:rPr>
  </w:style>
  <w:style w:type="character" w:styleId="1425" w:customStyle="1">
    <w:name w:val="正文文本 3 字符"/>
    <w:link w:val="1424"/>
    <w:uiPriority w:val="0"/>
    <w:qFormat/>
    <w:rPr>
      <w:rFonts w:ascii="宋体" w:hAnsi="Times New Roman" w:eastAsia="宋体" w:cs="Times New Roman"/>
      <w:sz w:val="24"/>
      <w:szCs w:val="20"/>
    </w:rPr>
  </w:style>
  <w:style w:type="paragraph" w:styleId="1426" w:customStyle="1">
    <w:name w:val="正文文本1"/>
    <w:basedOn w:val="1183"/>
    <w:next w:val="1427"/>
    <w:link w:val="1428"/>
    <w:uiPriority w:val="0"/>
    <w:qFormat/>
    <w:rPr>
      <w:rFonts w:ascii="华文中宋" w:hAnsi="Times New Roman" w:eastAsia="华文中宋"/>
      <w:bCs/>
      <w:sz w:val="28"/>
      <w:szCs w:val="20"/>
    </w:rPr>
  </w:style>
  <w:style w:type="paragraph" w:styleId="1427" w:customStyle="1">
    <w:name w:val="正文首行缩进1"/>
    <w:basedOn w:val="1426"/>
    <w:link w:val="1474"/>
    <w:uiPriority w:val="99"/>
    <w:unhideWhenUsed/>
    <w:qFormat/>
    <w:pPr>
      <w:ind w:firstLine="420"/>
      <w:spacing w:after="120"/>
    </w:pPr>
    <w:rPr>
      <w:rFonts w:ascii="等线" w:hAnsi="等线" w:eastAsia="等线"/>
      <w:bCs w:val="0"/>
      <w:sz w:val="21"/>
      <w:szCs w:val="22"/>
    </w:rPr>
  </w:style>
  <w:style w:type="character" w:styleId="1428" w:customStyle="1">
    <w:name w:val="正文文本 字符2"/>
    <w:link w:val="1426"/>
    <w:uiPriority w:val="0"/>
    <w:qFormat/>
    <w:rPr>
      <w:rFonts w:ascii="华文中宋" w:hAnsi="Times New Roman" w:eastAsia="华文中宋" w:cs="Times New Roman"/>
      <w:bCs/>
      <w:sz w:val="28"/>
      <w:szCs w:val="20"/>
    </w:rPr>
  </w:style>
  <w:style w:type="character" w:styleId="1429" w:customStyle="1">
    <w:name w:val="正文首行缩进 字符"/>
    <w:uiPriority w:val="99"/>
    <w:semiHidden/>
    <w:qFormat/>
    <w:rPr>
      <w:rFonts w:ascii="华文中宋" w:hAnsi="Times New Roman" w:eastAsia="华文中宋" w:cs="Times New Roman"/>
      <w:sz w:val="28"/>
      <w:szCs w:val="20"/>
    </w:rPr>
  </w:style>
  <w:style w:type="paragraph" w:styleId="1430" w:customStyle="1">
    <w:name w:val="正文文本缩进1"/>
    <w:basedOn w:val="1183"/>
    <w:next w:val="1431"/>
    <w:link w:val="1432"/>
    <w:uiPriority w:val="0"/>
    <w:qFormat/>
    <w:pPr>
      <w:ind w:firstLine="540"/>
      <w:spacing w:line="360" w:lineRule="auto"/>
      <w:widowControl/>
    </w:pPr>
    <w:rPr>
      <w:rFonts w:ascii="宋体" w:hAnsi="MS Sans Serif" w:eastAsia="宋体"/>
      <w:spacing w:val="12"/>
      <w:sz w:val="24"/>
      <w:szCs w:val="20"/>
    </w:rPr>
  </w:style>
  <w:style w:type="paragraph" w:styleId="1431" w:customStyle="1">
    <w:name w:val="寄信人地址1"/>
    <w:basedOn w:val="1183"/>
    <w:uiPriority w:val="0"/>
    <w:qFormat/>
    <w:rPr>
      <w:rFonts w:ascii="Arial" w:hAnsi="Arial" w:eastAsia="宋体"/>
      <w:szCs w:val="20"/>
    </w:rPr>
  </w:style>
  <w:style w:type="character" w:styleId="1432" w:customStyle="1">
    <w:name w:val="正文文本缩进 字符2"/>
    <w:link w:val="1430"/>
    <w:uiPriority w:val="0"/>
    <w:qFormat/>
    <w:rPr>
      <w:rFonts w:ascii="宋体" w:hAnsi="MS Sans Serif" w:eastAsia="宋体" w:cs="Times New Roman"/>
      <w:spacing w:val="12"/>
      <w:sz w:val="24"/>
      <w:szCs w:val="20"/>
    </w:rPr>
  </w:style>
  <w:style w:type="paragraph" w:styleId="1433" w:customStyle="1">
    <w:name w:val="文本块1"/>
    <w:basedOn w:val="1183"/>
    <w:uiPriority w:val="99"/>
    <w:qFormat/>
    <w:pPr>
      <w:ind w:left="420" w:right="33"/>
      <w:jc w:val="left"/>
    </w:pPr>
    <w:rPr>
      <w:rFonts w:ascii="Times New Roman" w:hAnsi="Times New Roman" w:eastAsia="宋体"/>
      <w:sz w:val="24"/>
      <w:szCs w:val="20"/>
    </w:rPr>
  </w:style>
  <w:style w:type="paragraph" w:styleId="1434" w:customStyle="1">
    <w:name w:val="索引 41"/>
    <w:basedOn w:val="1183"/>
    <w:next w:val="1183"/>
    <w:uiPriority w:val="99"/>
    <w:qFormat/>
    <w:pPr>
      <w:ind w:left="600"/>
    </w:pPr>
    <w:rPr>
      <w:rFonts w:ascii="Times New Roman" w:hAnsi="Times New Roman" w:eastAsia="宋体"/>
      <w:szCs w:val="24"/>
    </w:rPr>
  </w:style>
  <w:style w:type="paragraph" w:styleId="1435" w:customStyle="1">
    <w:name w:val="纯文本1"/>
    <w:basedOn w:val="1183"/>
    <w:next w:val="1436"/>
    <w:link w:val="1437"/>
    <w:uiPriority w:val="0"/>
    <w:qFormat/>
    <w:rPr>
      <w:rFonts w:ascii="宋体" w:hAnsi="Courier New" w:eastAsia="宋体"/>
      <w:szCs w:val="20"/>
    </w:rPr>
  </w:style>
  <w:style w:type="paragraph" w:styleId="1436" w:customStyle="1">
    <w:name w:val="目录 21"/>
    <w:basedOn w:val="1183"/>
    <w:next w:val="1183"/>
    <w:uiPriority w:val="39"/>
    <w:unhideWhenUsed/>
    <w:qFormat/>
    <w:pPr>
      <w:ind w:left="420"/>
    </w:pPr>
  </w:style>
  <w:style w:type="character" w:styleId="1437" w:customStyle="1">
    <w:name w:val="纯文本 字符2"/>
    <w:link w:val="1435"/>
    <w:uiPriority w:val="0"/>
    <w:qFormat/>
    <w:rPr>
      <w:rFonts w:ascii="宋体" w:hAnsi="Courier New" w:eastAsia="宋体" w:cs="Times New Roman"/>
      <w:szCs w:val="20"/>
    </w:rPr>
  </w:style>
  <w:style w:type="paragraph" w:styleId="1438" w:customStyle="1">
    <w:name w:val="日期1"/>
    <w:basedOn w:val="1183"/>
    <w:next w:val="1183"/>
    <w:link w:val="1439"/>
    <w:uiPriority w:val="99"/>
    <w:qFormat/>
    <w:rPr>
      <w:rFonts w:ascii="Times New Roman" w:hAnsi="Times New Roman" w:eastAsia="宋体"/>
      <w:sz w:val="24"/>
      <w:szCs w:val="20"/>
    </w:rPr>
  </w:style>
  <w:style w:type="character" w:styleId="1439" w:customStyle="1">
    <w:name w:val="日期 字符2"/>
    <w:link w:val="1438"/>
    <w:uiPriority w:val="99"/>
    <w:qFormat/>
    <w:rPr>
      <w:rFonts w:ascii="Times New Roman" w:hAnsi="Times New Roman" w:eastAsia="宋体" w:cs="Times New Roman"/>
      <w:sz w:val="24"/>
      <w:szCs w:val="20"/>
    </w:rPr>
  </w:style>
  <w:style w:type="paragraph" w:styleId="1440" w:customStyle="1">
    <w:name w:val="正文文本缩进 21"/>
    <w:basedOn w:val="1183"/>
    <w:link w:val="1441"/>
    <w:uiPriority w:val="99"/>
    <w:qFormat/>
    <w:pPr>
      <w:ind w:left="420"/>
      <w:spacing w:after="120" w:line="480" w:lineRule="auto"/>
    </w:pPr>
    <w:rPr>
      <w:rFonts w:ascii="Times New Roman" w:hAnsi="Times New Roman" w:eastAsia="宋体"/>
      <w:szCs w:val="24"/>
    </w:rPr>
  </w:style>
  <w:style w:type="character" w:styleId="1441" w:customStyle="1">
    <w:name w:val="正文文本缩进 2 字符2"/>
    <w:link w:val="1440"/>
    <w:uiPriority w:val="99"/>
    <w:qFormat/>
    <w:rPr>
      <w:rFonts w:ascii="Times New Roman" w:hAnsi="Times New Roman" w:eastAsia="宋体" w:cs="Times New Roman"/>
      <w:szCs w:val="24"/>
    </w:rPr>
  </w:style>
  <w:style w:type="paragraph" w:styleId="1442" w:customStyle="1">
    <w:name w:val="批注框文本1"/>
    <w:basedOn w:val="1183"/>
    <w:link w:val="1443"/>
    <w:uiPriority w:val="99"/>
    <w:qFormat/>
    <w:rPr>
      <w:rFonts w:ascii="Times New Roman" w:hAnsi="Times New Roman" w:eastAsia="宋体"/>
      <w:sz w:val="18"/>
      <w:szCs w:val="18"/>
    </w:rPr>
  </w:style>
  <w:style w:type="character" w:styleId="1443" w:customStyle="1">
    <w:name w:val="批注框文本 字符2"/>
    <w:link w:val="1442"/>
    <w:uiPriority w:val="99"/>
    <w:qFormat/>
    <w:rPr>
      <w:rFonts w:ascii="Times New Roman" w:hAnsi="Times New Roman" w:eastAsia="宋体" w:cs="Times New Roman"/>
      <w:sz w:val="18"/>
      <w:szCs w:val="18"/>
    </w:rPr>
  </w:style>
  <w:style w:type="paragraph" w:styleId="1444" w:customStyle="1">
    <w:name w:val="页脚1"/>
    <w:basedOn w:val="1183"/>
    <w:next w:val="1247"/>
    <w:link w:val="1445"/>
    <w:uiPriority w:val="99"/>
    <w:unhideWhenUsed/>
    <w:qFormat/>
    <w:pPr>
      <w:jc w:val="left"/>
      <w:tabs>
        <w:tab w:val="center" w:pos="4153" w:leader="none"/>
        <w:tab w:val="right" w:pos="8306" w:leader="none"/>
      </w:tabs>
    </w:pPr>
    <w:rPr>
      <w:sz w:val="18"/>
      <w:szCs w:val="18"/>
    </w:rPr>
  </w:style>
  <w:style w:type="character" w:styleId="1445" w:customStyle="1">
    <w:name w:val="页脚 字符"/>
    <w:link w:val="1444"/>
    <w:uiPriority w:val="0"/>
    <w:qFormat/>
    <w:rPr>
      <w:sz w:val="18"/>
      <w:szCs w:val="18"/>
    </w:rPr>
  </w:style>
  <w:style w:type="paragraph" w:styleId="1446" w:customStyle="1">
    <w:name w:val="页眉1"/>
    <w:basedOn w:val="1183"/>
    <w:link w:val="144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447" w:customStyle="1">
    <w:name w:val="页眉 字符"/>
    <w:link w:val="1446"/>
    <w:uiPriority w:val="99"/>
    <w:qFormat/>
    <w:rPr>
      <w:sz w:val="18"/>
      <w:szCs w:val="18"/>
    </w:rPr>
  </w:style>
  <w:style w:type="paragraph" w:styleId="1448" w:customStyle="1">
    <w:name w:val="目录 11"/>
    <w:basedOn w:val="1183"/>
    <w:next w:val="1183"/>
    <w:uiPriority w:val="39"/>
    <w:qFormat/>
    <w:pPr>
      <w:jc w:val="center"/>
      <w:spacing w:before="120" w:after="120"/>
      <w:tabs>
        <w:tab w:val="right" w:pos="9170" w:leader="dot"/>
      </w:tabs>
    </w:pPr>
    <w:rPr>
      <w:rFonts w:eastAsia="文鼎小标宋简"/>
      <w:caps/>
      <w:sz w:val="32"/>
      <w:szCs w:val="32"/>
    </w:rPr>
  </w:style>
  <w:style w:type="paragraph" w:styleId="1449" w:customStyle="1">
    <w:name w:val="副标题1"/>
    <w:basedOn w:val="1183"/>
    <w:next w:val="1183"/>
    <w:link w:val="1450"/>
    <w:uiPriority w:val="0"/>
    <w:qFormat/>
    <w:pPr>
      <w:jc w:val="center"/>
      <w:spacing w:before="240" w:after="60" w:line="312" w:lineRule="auto"/>
      <w:outlineLvl w:val="1"/>
    </w:pPr>
    <w:rPr>
      <w:rFonts w:ascii="Cambria" w:hAnsi="Cambria" w:eastAsia="宋体"/>
      <w:b/>
      <w:bCs/>
      <w:sz w:val="32"/>
      <w:szCs w:val="32"/>
    </w:rPr>
  </w:style>
  <w:style w:type="character" w:styleId="1450" w:customStyle="1">
    <w:name w:val="副标题 字符"/>
    <w:link w:val="1449"/>
    <w:uiPriority w:val="0"/>
    <w:qFormat/>
    <w:rPr>
      <w:rFonts w:ascii="Cambria" w:hAnsi="Cambria" w:eastAsia="宋体" w:cs="Times New Roman"/>
      <w:b/>
      <w:bCs/>
      <w:sz w:val="32"/>
      <w:szCs w:val="32"/>
    </w:rPr>
  </w:style>
  <w:style w:type="paragraph" w:styleId="1451" w:customStyle="1">
    <w:name w:val="列表1"/>
    <w:basedOn w:val="1183"/>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452" w:customStyle="1">
    <w:name w:val="脚注文本1"/>
    <w:basedOn w:val="1183"/>
    <w:link w:val="1453"/>
    <w:uiPriority w:val="0"/>
    <w:qFormat/>
    <w:pPr>
      <w:jc w:val="left"/>
      <w:spacing w:line="312" w:lineRule="atLeast"/>
    </w:pPr>
    <w:rPr>
      <w:rFonts w:ascii="Times New Roman" w:hAnsi="Times New Roman" w:eastAsia="宋体"/>
      <w:sz w:val="18"/>
      <w:szCs w:val="20"/>
    </w:rPr>
  </w:style>
  <w:style w:type="character" w:styleId="1453" w:customStyle="1">
    <w:name w:val="脚注文本 字符"/>
    <w:link w:val="1452"/>
    <w:uiPriority w:val="0"/>
    <w:qFormat/>
    <w:rPr>
      <w:rFonts w:ascii="Times New Roman" w:hAnsi="Times New Roman" w:eastAsia="宋体" w:cs="Times New Roman"/>
      <w:sz w:val="18"/>
      <w:szCs w:val="20"/>
    </w:rPr>
  </w:style>
  <w:style w:type="paragraph" w:styleId="1454" w:customStyle="1">
    <w:name w:val="正文文本缩进 31"/>
    <w:basedOn w:val="1183"/>
    <w:link w:val="1455"/>
    <w:uiPriority w:val="99"/>
    <w:qFormat/>
    <w:pPr>
      <w:ind w:firstLine="540"/>
      <w:spacing w:line="360" w:lineRule="auto"/>
      <w:widowControl/>
    </w:pPr>
    <w:rPr>
      <w:rFonts w:ascii="宋体" w:hAnsi="MS Sans Serif" w:eastAsia="宋体"/>
      <w:color w:val="000000"/>
      <w:sz w:val="24"/>
      <w:szCs w:val="20"/>
    </w:rPr>
  </w:style>
  <w:style w:type="character" w:styleId="1455" w:customStyle="1">
    <w:name w:val="正文文本缩进 3 字符2"/>
    <w:link w:val="1454"/>
    <w:uiPriority w:val="99"/>
    <w:qFormat/>
    <w:rPr>
      <w:rFonts w:ascii="宋体" w:hAnsi="MS Sans Serif" w:eastAsia="宋体" w:cs="Times New Roman"/>
      <w:color w:val="000000"/>
      <w:sz w:val="24"/>
      <w:szCs w:val="20"/>
    </w:rPr>
  </w:style>
  <w:style w:type="paragraph" w:styleId="1456" w:customStyle="1">
    <w:name w:val="正文文本 21"/>
    <w:basedOn w:val="1183"/>
    <w:link w:val="1457"/>
    <w:uiPriority w:val="0"/>
    <w:qFormat/>
    <w:pPr>
      <w:spacing w:line="360" w:lineRule="auto"/>
      <w:tabs>
        <w:tab w:val="left" w:pos="540" w:leader="none"/>
      </w:tabs>
    </w:pPr>
    <w:rPr>
      <w:rFonts w:ascii="宋体" w:eastAsia="宋体"/>
      <w:color w:val="000000"/>
      <w:sz w:val="28"/>
      <w:szCs w:val="20"/>
    </w:rPr>
  </w:style>
  <w:style w:type="character" w:styleId="1457" w:customStyle="1">
    <w:name w:val="正文文本 2 字符"/>
    <w:link w:val="1456"/>
    <w:uiPriority w:val="0"/>
    <w:qFormat/>
    <w:rPr>
      <w:rFonts w:ascii="宋体" w:eastAsia="宋体" w:cs="Times New Roman"/>
      <w:color w:val="000000"/>
      <w:sz w:val="28"/>
      <w:szCs w:val="20"/>
    </w:rPr>
  </w:style>
  <w:style w:type="paragraph" w:styleId="1458" w:customStyle="1">
    <w:name w:val="普通(网站)1"/>
    <w:basedOn w:val="1183"/>
    <w:uiPriority w:val="99"/>
    <w:qFormat/>
    <w:pPr>
      <w:jc w:val="left"/>
      <w:spacing w:before="100" w:beforeAutospacing="1" w:after="100" w:afterAutospacing="1"/>
      <w:widowControl/>
    </w:pPr>
    <w:rPr>
      <w:rFonts w:ascii="宋体" w:hAnsi="宋体" w:eastAsia="宋体" w:cs="宋体"/>
      <w:sz w:val="24"/>
      <w:szCs w:val="24"/>
    </w:rPr>
  </w:style>
  <w:style w:type="paragraph" w:styleId="1459" w:customStyle="1">
    <w:name w:val="标题1"/>
    <w:basedOn w:val="1183"/>
    <w:next w:val="1183"/>
    <w:link w:val="1460"/>
    <w:uiPriority w:val="10"/>
    <w:qFormat/>
    <w:pPr>
      <w:jc w:val="center"/>
      <w:spacing w:before="240" w:after="60"/>
      <w:outlineLvl w:val="0"/>
    </w:pPr>
    <w:rPr>
      <w:rFonts w:ascii="Cambria" w:hAnsi="Cambria" w:eastAsia="宋体"/>
      <w:b/>
      <w:bCs/>
      <w:sz w:val="32"/>
      <w:szCs w:val="32"/>
    </w:rPr>
  </w:style>
  <w:style w:type="character" w:styleId="1460" w:customStyle="1">
    <w:name w:val="标题 字符"/>
    <w:link w:val="1459"/>
    <w:uiPriority w:val="10"/>
    <w:qFormat/>
    <w:rPr>
      <w:rFonts w:ascii="Cambria" w:hAnsi="Cambria" w:eastAsia="宋体" w:cs="Times New Roman"/>
      <w:b/>
      <w:bCs/>
      <w:sz w:val="32"/>
      <w:szCs w:val="32"/>
    </w:rPr>
  </w:style>
  <w:style w:type="paragraph" w:styleId="1461" w:customStyle="1">
    <w:name w:val="批注主题1"/>
    <w:basedOn w:val="1422"/>
    <w:next w:val="1422"/>
    <w:link w:val="1462"/>
    <w:uiPriority w:val="99"/>
    <w:qFormat/>
    <w:pPr>
      <w:spacing w:line="240" w:lineRule="auto"/>
    </w:pPr>
    <w:rPr>
      <w:b/>
      <w:bCs/>
      <w:sz w:val="21"/>
    </w:rPr>
  </w:style>
  <w:style w:type="character" w:styleId="1462" w:customStyle="1">
    <w:name w:val="批注主题 字符2"/>
    <w:link w:val="1461"/>
    <w:uiPriority w:val="99"/>
    <w:qFormat/>
    <w:rPr>
      <w:rFonts w:ascii="Times New Roman" w:hAnsi="Times New Roman" w:eastAsia="宋体" w:cs="Times New Roman"/>
      <w:b/>
      <w:bCs/>
      <w:szCs w:val="20"/>
    </w:rPr>
  </w:style>
  <w:style w:type="paragraph" w:styleId="1463" w:customStyle="1">
    <w:name w:val="正文首行缩进 21"/>
    <w:basedOn w:val="1430"/>
    <w:link w:val="1464"/>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464" w:customStyle="1">
    <w:name w:val="正文首行缩进 2 字符"/>
    <w:basedOn w:val="1432"/>
    <w:link w:val="1463"/>
    <w:uiPriority w:val="99"/>
    <w:semiHidden/>
    <w:qFormat/>
    <w:rPr>
      <w:rFonts w:ascii="宋体" w:hAnsi="MS Sans Serif" w:eastAsia="宋体" w:cs="Times New Roman"/>
      <w:spacing w:val="12"/>
      <w:sz w:val="24"/>
      <w:szCs w:val="20"/>
    </w:rPr>
  </w:style>
  <w:style w:type="table" w:styleId="1465" w:customStyle="1">
    <w:name w:val="网格型11"/>
    <w:basedOn w:val="1408"/>
    <w:uiPriority w:val="99"/>
    <w:unhideWhenUsed/>
    <w:qFormat/>
    <w:tblPr/>
  </w:style>
  <w:style w:type="character" w:styleId="1466" w:customStyle="1">
    <w:name w:val="要点1"/>
    <w:uiPriority w:val="0"/>
    <w:qFormat/>
    <w:rPr>
      <w:b/>
      <w:bCs/>
    </w:rPr>
  </w:style>
  <w:style w:type="character" w:styleId="1467" w:customStyle="1">
    <w:name w:val="页码1"/>
    <w:uiPriority w:val="0"/>
    <w:qFormat/>
  </w:style>
  <w:style w:type="character" w:styleId="1468" w:customStyle="1">
    <w:name w:val="已访问的超链接1"/>
    <w:uiPriority w:val="99"/>
    <w:qFormat/>
    <w:rPr>
      <w:color w:val="000000"/>
      <w:u w:val="none"/>
    </w:rPr>
  </w:style>
  <w:style w:type="character" w:styleId="1469" w:customStyle="1">
    <w:name w:val="强调1"/>
    <w:uiPriority w:val="0"/>
    <w:qFormat/>
  </w:style>
  <w:style w:type="character" w:styleId="1470" w:customStyle="1">
    <w:name w:val="HTML 打字机1"/>
    <w:link w:val="1183"/>
    <w:uiPriority w:val="0"/>
    <w:qFormat/>
    <w:rPr>
      <w:rFonts w:ascii="等线" w:hAnsi="等线" w:eastAsia="等线" w:cs="Times New Roman"/>
      <w:sz w:val="21"/>
      <w:szCs w:val="22"/>
      <w:lang w:val="en-US" w:eastAsia="zh-CN" w:bidi="ar-SA"/>
    </w:rPr>
  </w:style>
  <w:style w:type="character" w:styleId="1471" w:customStyle="1">
    <w:name w:val="超链接1"/>
    <w:uiPriority w:val="99"/>
    <w:qFormat/>
    <w:rPr>
      <w:color w:val="000000"/>
      <w:u w:val="none"/>
    </w:rPr>
  </w:style>
  <w:style w:type="character" w:styleId="1472" w:customStyle="1">
    <w:name w:val="HTML 代码1"/>
    <w:uiPriority w:val="0"/>
    <w:qFormat/>
    <w:rPr>
      <w:rFonts w:ascii="Courier New" w:hAnsi="Courier New"/>
      <w:sz w:val="20"/>
    </w:rPr>
  </w:style>
  <w:style w:type="character" w:styleId="1473" w:customStyle="1">
    <w:name w:val="批注引用1"/>
    <w:uiPriority w:val="99"/>
    <w:qFormat/>
    <w:rPr>
      <w:sz w:val="21"/>
      <w:szCs w:val="21"/>
    </w:rPr>
  </w:style>
  <w:style w:type="character" w:styleId="1474" w:customStyle="1">
    <w:name w:val="正文首行缩进 Char"/>
    <w:link w:val="1427"/>
    <w:uiPriority w:val="99"/>
    <w:semiHidden/>
    <w:qFormat/>
    <w:rPr>
      <w:rFonts w:ascii="Times New Roman" w:hAnsi="Times New Roman" w:eastAsia="华文中宋" w:cs="Times New Roman"/>
      <w:sz w:val="21"/>
      <w:szCs w:val="20"/>
    </w:rPr>
  </w:style>
  <w:style w:type="character" w:styleId="1475" w:customStyle="1">
    <w:name w:val="标题 1 字符"/>
    <w:uiPriority w:val="0"/>
    <w:qFormat/>
    <w:rPr>
      <w:b/>
      <w:bCs/>
      <w:sz w:val="44"/>
      <w:szCs w:val="44"/>
    </w:rPr>
  </w:style>
  <w:style w:type="character" w:styleId="1476" w:customStyle="1">
    <w:name w:val="标题 2 字符"/>
    <w:uiPriority w:val="0"/>
    <w:qFormat/>
    <w:rPr>
      <w:rFonts w:ascii="等线 Light" w:hAnsi="等线 Light" w:eastAsia="等线 Light" w:cs="Times New Roman"/>
      <w:b/>
      <w:bCs/>
      <w:sz w:val="32"/>
      <w:szCs w:val="32"/>
    </w:rPr>
  </w:style>
  <w:style w:type="character" w:styleId="1477" w:customStyle="1">
    <w:name w:val="标题 3 字符"/>
    <w:uiPriority w:val="0"/>
    <w:qFormat/>
    <w:rPr>
      <w:b/>
      <w:bCs/>
      <w:sz w:val="32"/>
      <w:szCs w:val="32"/>
    </w:rPr>
  </w:style>
  <w:style w:type="character" w:styleId="1478" w:customStyle="1">
    <w:name w:val="标题 4 字符"/>
    <w:uiPriority w:val="0"/>
    <w:qFormat/>
    <w:rPr>
      <w:rFonts w:ascii="等线 Light" w:hAnsi="等线 Light" w:eastAsia="等线 Light" w:cs="Times New Roman"/>
      <w:b/>
      <w:bCs/>
      <w:sz w:val="28"/>
      <w:szCs w:val="28"/>
    </w:rPr>
  </w:style>
  <w:style w:type="character" w:styleId="1479" w:customStyle="1">
    <w:name w:val="标题 5 字符"/>
    <w:uiPriority w:val="0"/>
    <w:qFormat/>
    <w:rPr>
      <w:b/>
      <w:bCs/>
      <w:sz w:val="28"/>
      <w:szCs w:val="28"/>
    </w:rPr>
  </w:style>
  <w:style w:type="character" w:styleId="1480" w:customStyle="1">
    <w:name w:val="标题 6 字符"/>
    <w:uiPriority w:val="0"/>
    <w:qFormat/>
    <w:rPr>
      <w:rFonts w:ascii="等线 Light" w:hAnsi="等线 Light" w:eastAsia="等线 Light" w:cs="Times New Roman"/>
      <w:b/>
      <w:bCs/>
      <w:sz w:val="24"/>
      <w:szCs w:val="24"/>
    </w:rPr>
  </w:style>
  <w:style w:type="character" w:styleId="1481" w:customStyle="1">
    <w:name w:val="标题 7 字符"/>
    <w:uiPriority w:val="0"/>
    <w:qFormat/>
    <w:rPr>
      <w:b/>
      <w:bCs/>
      <w:sz w:val="24"/>
      <w:szCs w:val="24"/>
    </w:rPr>
  </w:style>
  <w:style w:type="character" w:styleId="1482" w:customStyle="1">
    <w:name w:val="标题 8 字符"/>
    <w:uiPriority w:val="0"/>
    <w:qFormat/>
    <w:rPr>
      <w:rFonts w:ascii="等线 Light" w:hAnsi="等线 Light" w:eastAsia="等线 Light" w:cs="Times New Roman"/>
      <w:sz w:val="24"/>
      <w:szCs w:val="24"/>
    </w:rPr>
  </w:style>
  <w:style w:type="character" w:styleId="1483" w:customStyle="1">
    <w:name w:val="标题 9 字符"/>
    <w:uiPriority w:val="0"/>
    <w:qFormat/>
    <w:rPr>
      <w:rFonts w:ascii="等线 Light" w:hAnsi="等线 Light" w:eastAsia="等线 Light" w:cs="Times New Roman"/>
      <w:szCs w:val="21"/>
    </w:rPr>
  </w:style>
  <w:style w:type="paragraph" w:styleId="1484" w:customStyle="1">
    <w:name w:val="_Style 39"/>
    <w:basedOn w:val="1183"/>
    <w:next w:val="1485"/>
    <w:uiPriority w:val="34"/>
    <w:qFormat/>
    <w:pPr>
      <w:ind w:firstLine="420"/>
    </w:pPr>
    <w:rPr>
      <w:rFonts w:ascii="Times New Roman" w:hAnsi="Times New Roman" w:eastAsia="宋体"/>
      <w:szCs w:val="24"/>
    </w:rPr>
  </w:style>
  <w:style w:type="paragraph" w:styleId="1485" w:customStyle="1">
    <w:name w:val="列出段落2"/>
    <w:basedOn w:val="1183"/>
    <w:link w:val="1486"/>
    <w:uiPriority w:val="34"/>
    <w:qFormat/>
    <w:pPr>
      <w:ind w:firstLine="420"/>
    </w:pPr>
    <w:rPr>
      <w:szCs w:val="24"/>
    </w:rPr>
  </w:style>
  <w:style w:type="character" w:styleId="1486" w:customStyle="1">
    <w:name w:val="列表段落 字符"/>
    <w:link w:val="1485"/>
    <w:uiPriority w:val="34"/>
    <w:qFormat/>
    <w:rPr>
      <w:sz w:val="21"/>
      <w:szCs w:val="24"/>
    </w:rPr>
  </w:style>
  <w:style w:type="character" w:styleId="1487" w:customStyle="1">
    <w:name w:val="文档结构图 字符"/>
    <w:uiPriority w:val="0"/>
    <w:qFormat/>
    <w:rPr>
      <w:rFonts w:ascii="Microsoft YaHei UI" w:eastAsia="Microsoft YaHei UI"/>
      <w:sz w:val="18"/>
      <w:szCs w:val="18"/>
    </w:rPr>
  </w:style>
  <w:style w:type="character" w:styleId="1488" w:customStyle="1">
    <w:name w:val="批注文字 字符"/>
    <w:basedOn w:val="1407"/>
    <w:uiPriority w:val="0"/>
    <w:qFormat/>
  </w:style>
  <w:style w:type="character" w:styleId="1489" w:customStyle="1">
    <w:name w:val="正文文本 字符"/>
    <w:basedOn w:val="1407"/>
    <w:uiPriority w:val="0"/>
    <w:qFormat/>
  </w:style>
  <w:style w:type="character" w:styleId="1490" w:customStyle="1">
    <w:name w:val="正文文本缩进 字符"/>
    <w:basedOn w:val="1407"/>
    <w:uiPriority w:val="0"/>
    <w:qFormat/>
  </w:style>
  <w:style w:type="paragraph" w:styleId="149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92" w:customStyle="1">
    <w:name w:val="纯文本 字符"/>
    <w:uiPriority w:val="0"/>
    <w:qFormat/>
    <w:rPr>
      <w:rFonts w:ascii="等线" w:hAnsi="Courier New" w:cs="Courier New"/>
    </w:rPr>
  </w:style>
  <w:style w:type="character" w:styleId="1493" w:customStyle="1">
    <w:name w:val="日期 字符"/>
    <w:basedOn w:val="1407"/>
    <w:uiPriority w:val="0"/>
    <w:qFormat/>
  </w:style>
  <w:style w:type="character" w:styleId="1494" w:customStyle="1">
    <w:name w:val="正文文本缩进 2 字符"/>
    <w:basedOn w:val="1407"/>
    <w:uiPriority w:val="0"/>
    <w:qFormat/>
  </w:style>
  <w:style w:type="character" w:styleId="1495" w:customStyle="1">
    <w:name w:val="批注框文本 字符"/>
    <w:uiPriority w:val="0"/>
    <w:qFormat/>
    <w:rPr>
      <w:sz w:val="18"/>
      <w:szCs w:val="18"/>
    </w:rPr>
  </w:style>
  <w:style w:type="character" w:styleId="1496" w:customStyle="1">
    <w:name w:val="页脚 字符2"/>
    <w:uiPriority w:val="99"/>
    <w:qFormat/>
    <w:rPr>
      <w:sz w:val="18"/>
      <w:szCs w:val="18"/>
    </w:rPr>
  </w:style>
  <w:style w:type="character" w:styleId="1497" w:customStyle="1">
    <w:name w:val="页眉 字符2"/>
    <w:uiPriority w:val="99"/>
    <w:qFormat/>
    <w:rPr>
      <w:sz w:val="18"/>
      <w:szCs w:val="18"/>
    </w:rPr>
  </w:style>
  <w:style w:type="character" w:styleId="1498" w:customStyle="1">
    <w:name w:val="正文文本缩进 3 字符"/>
    <w:uiPriority w:val="0"/>
    <w:qFormat/>
    <w:rPr>
      <w:sz w:val="16"/>
      <w:szCs w:val="16"/>
    </w:rPr>
  </w:style>
  <w:style w:type="character" w:styleId="1499" w:customStyle="1">
    <w:name w:val="批注主题 字符"/>
    <w:uiPriority w:val="0"/>
    <w:qFormat/>
    <w:rPr>
      <w:b/>
      <w:bCs/>
    </w:rPr>
  </w:style>
  <w:style w:type="character" w:styleId="1500" w:customStyle="1">
    <w:name w:val="正文文本首行缩进 字符1"/>
    <w:uiPriority w:val="0"/>
    <w:qFormat/>
    <w:rPr>
      <w:sz w:val="21"/>
    </w:rPr>
  </w:style>
  <w:style w:type="character" w:styleId="1501" w:customStyle="1">
    <w:name w:val="正文文本首行缩进 2 字符"/>
    <w:uiPriority w:val="0"/>
    <w:qFormat/>
  </w:style>
  <w:style w:type="character" w:styleId="1502" w:customStyle="1">
    <w:name w:val="Comment Text Char1"/>
    <w:uiPriority w:val="0"/>
    <w:qFormat/>
    <w:rPr>
      <w:sz w:val="24"/>
      <w:lang w:bidi="ar-SA"/>
    </w:rPr>
  </w:style>
  <w:style w:type="character" w:styleId="1503" w:customStyle="1">
    <w:name w:val="Footnote Text Char"/>
    <w:uiPriority w:val="0"/>
    <w:qFormat/>
    <w:rPr>
      <w:rFonts w:eastAsia="宋体"/>
      <w:sz w:val="18"/>
      <w:lang w:val="en-US" w:eastAsia="zh-CN" w:bidi="ar-SA"/>
    </w:rPr>
  </w:style>
  <w:style w:type="character" w:styleId="1504" w:customStyle="1">
    <w:name w:val="font131"/>
    <w:uiPriority w:val="0"/>
    <w:qFormat/>
    <w:rPr>
      <w:rFonts w:ascii="Times New Roman" w:hAnsi="Times New Roman" w:cs="Times New Roman"/>
      <w:color w:val="000000"/>
      <w:sz w:val="20"/>
      <w:szCs w:val="20"/>
      <w:u w:val="none"/>
      <w:vertAlign w:val="superscript"/>
    </w:rPr>
  </w:style>
  <w:style w:type="character" w:styleId="1505" w:customStyle="1">
    <w:name w:val="Plain Text Char"/>
    <w:uiPriority w:val="0"/>
    <w:qFormat/>
    <w:rPr>
      <w:rFonts w:ascii="宋体" w:hAnsi="Courier New" w:eastAsia="宋体"/>
      <w:sz w:val="24"/>
      <w:lang w:bidi="ar-SA"/>
    </w:rPr>
  </w:style>
  <w:style w:type="character" w:styleId="1506" w:customStyle="1">
    <w:name w:val="正文文本 (5) Exact"/>
    <w:link w:val="1507"/>
    <w:uiPriority w:val="0"/>
    <w:qFormat/>
    <w:rPr>
      <w:rFonts w:ascii="仿宋" w:eastAsia="仿宋"/>
      <w:sz w:val="19"/>
      <w:szCs w:val="19"/>
      <w:shd w:val="clear" w:color="auto" w:fill="ffffff"/>
      <w:lang w:eastAsia="en-US"/>
    </w:rPr>
  </w:style>
  <w:style w:type="paragraph" w:styleId="1507" w:customStyle="1">
    <w:name w:val="正文文本 (5)"/>
    <w:basedOn w:val="1183"/>
    <w:link w:val="1506"/>
    <w:uiPriority w:val="0"/>
    <w:qFormat/>
    <w:pPr>
      <w:jc w:val="left"/>
      <w:spacing w:line="240" w:lineRule="atLeast"/>
      <w:shd w:val="clear" w:color="auto" w:fill="ffffff"/>
    </w:pPr>
    <w:rPr>
      <w:rFonts w:ascii="仿宋" w:eastAsia="仿宋"/>
      <w:sz w:val="19"/>
      <w:szCs w:val="19"/>
      <w:lang w:eastAsia="en-US"/>
    </w:rPr>
  </w:style>
  <w:style w:type="character" w:styleId="1508" w:customStyle="1">
    <w:name w:val="页眉 Char"/>
    <w:uiPriority w:val="99"/>
    <w:qFormat/>
    <w:rPr>
      <w:sz w:val="18"/>
      <w:szCs w:val="18"/>
    </w:rPr>
  </w:style>
  <w:style w:type="character" w:styleId="1509" w:customStyle="1">
    <w:name w:val="标题 1 Char1"/>
    <w:uiPriority w:val="0"/>
    <w:qFormat/>
    <w:rPr>
      <w:rFonts w:ascii="Calibri" w:hAnsi="Calibri" w:eastAsia="宋体" w:cs="Arial"/>
      <w:b/>
      <w:sz w:val="44"/>
      <w:szCs w:val="20"/>
    </w:rPr>
  </w:style>
  <w:style w:type="character" w:styleId="1510" w:customStyle="1">
    <w:name w:val="明显强调1"/>
    <w:uiPriority w:val="0"/>
    <w:qFormat/>
    <w:rPr>
      <w:b/>
      <w:bCs/>
      <w:i/>
      <w:iCs/>
      <w:color w:val="4f81bd"/>
    </w:rPr>
  </w:style>
  <w:style w:type="character" w:styleId="1511" w:customStyle="1">
    <w:name w:val="纯文本 Char1"/>
    <w:uiPriority w:val="0"/>
    <w:qFormat/>
    <w:rPr>
      <w:rFonts w:ascii="宋体" w:hAnsi="Courier New"/>
      <w:sz w:val="21"/>
    </w:rPr>
  </w:style>
  <w:style w:type="character" w:styleId="1512" w:customStyle="1">
    <w:name w:val="yf00正文 字符"/>
    <w:link w:val="1513"/>
    <w:uiPriority w:val="0"/>
    <w:qFormat/>
    <w:rPr>
      <w:rFonts w:ascii="宋体" w:hAnsi="宋体"/>
      <w:sz w:val="24"/>
      <w:szCs w:val="21"/>
    </w:rPr>
  </w:style>
  <w:style w:type="paragraph" w:styleId="1513" w:customStyle="1">
    <w:name w:val="yf00正文"/>
    <w:basedOn w:val="1183"/>
    <w:link w:val="1512"/>
    <w:uiPriority w:val="0"/>
    <w:qFormat/>
    <w:pPr>
      <w:ind w:firstLine="480"/>
      <w:spacing w:after="160" w:line="360" w:lineRule="auto"/>
    </w:pPr>
    <w:rPr>
      <w:rFonts w:ascii="宋体" w:hAnsi="宋体"/>
      <w:sz w:val="24"/>
      <w:szCs w:val="21"/>
    </w:rPr>
  </w:style>
  <w:style w:type="character" w:styleId="1514" w:customStyle="1">
    <w:name w:val="font101"/>
    <w:uiPriority w:val="0"/>
    <w:qFormat/>
    <w:rPr>
      <w:rFonts w:hint="eastAsia" w:ascii="宋体" w:hAnsi="宋体" w:eastAsia="宋体" w:cs="宋体"/>
      <w:color w:val="000000"/>
      <w:sz w:val="18"/>
      <w:szCs w:val="18"/>
      <w:u w:val="none"/>
    </w:rPr>
  </w:style>
  <w:style w:type="character" w:styleId="1515" w:customStyle="1">
    <w:name w:val="Header Char"/>
    <w:uiPriority w:val="0"/>
    <w:qFormat/>
    <w:rPr>
      <w:rFonts w:eastAsia="宋体"/>
      <w:sz w:val="18"/>
      <w:szCs w:val="18"/>
      <w:lang w:val="en-US" w:eastAsia="zh-CN" w:bidi="ar-SA"/>
    </w:rPr>
  </w:style>
  <w:style w:type="character" w:styleId="1516" w:customStyle="1">
    <w:name w:val="批注文字 Char Char"/>
    <w:uiPriority w:val="0"/>
    <w:qFormat/>
    <w:rPr>
      <w:rFonts w:ascii="宋体" w:hAnsi="Times New Roman" w:eastAsia="宋体" w:cs="Times New Roman"/>
      <w:sz w:val="28"/>
      <w:szCs w:val="20"/>
    </w:rPr>
  </w:style>
  <w:style w:type="character" w:styleId="1517" w:customStyle="1">
    <w:name w:val="fontstyle01"/>
    <w:uiPriority w:val="0"/>
    <w:qFormat/>
    <w:rPr>
      <w:rFonts w:ascii="MicrosoftYaHei-Identity-H" w:hAnsi="MicrosoftYaHei-Identity-H"/>
      <w:color w:val="231916"/>
      <w:sz w:val="22"/>
      <w:szCs w:val="22"/>
    </w:rPr>
  </w:style>
  <w:style w:type="character" w:styleId="1518" w:customStyle="1">
    <w:name w:val="font91"/>
    <w:basedOn w:val="1193"/>
    <w:uiPriority w:val="0"/>
    <w:qFormat/>
    <w:rPr>
      <w:rFonts w:hint="eastAsia" w:ascii="宋体" w:hAnsi="宋体" w:eastAsia="宋体" w:cs="宋体"/>
      <w:b/>
      <w:bCs/>
      <w:color w:val="000000"/>
      <w:sz w:val="24"/>
      <w:szCs w:val="24"/>
      <w:u w:val="none"/>
    </w:rPr>
  </w:style>
  <w:style w:type="character" w:styleId="1519" w:customStyle="1">
    <w:name w:val="font111"/>
    <w:uiPriority w:val="0"/>
    <w:qFormat/>
    <w:rPr>
      <w:rFonts w:hint="eastAsia" w:ascii="宋体" w:hAnsi="宋体" w:eastAsia="宋体" w:cs="宋体"/>
      <w:color w:val="000000"/>
      <w:sz w:val="20"/>
      <w:szCs w:val="20"/>
      <w:u w:val="none"/>
    </w:rPr>
  </w:style>
  <w:style w:type="character" w:styleId="1520" w:customStyle="1">
    <w:name w:val="tit12"/>
    <w:uiPriority w:val="0"/>
    <w:qFormat/>
    <w:rPr>
      <w:color w:val="db2200"/>
    </w:rPr>
  </w:style>
  <w:style w:type="character" w:styleId="1521" w:customStyle="1">
    <w:name w:val="批注文字 Char1"/>
    <w:uiPriority w:val="0"/>
    <w:qFormat/>
    <w:rPr>
      <w:rFonts w:ascii="Times New Roman" w:hAnsi="Times New Roman" w:eastAsia="宋体" w:cs="Times New Roman"/>
      <w:sz w:val="20"/>
      <w:szCs w:val="20"/>
    </w:rPr>
  </w:style>
  <w:style w:type="character" w:styleId="1522" w:customStyle="1">
    <w:name w:val="CITE"/>
    <w:uiPriority w:val="0"/>
    <w:qFormat/>
    <w:rPr>
      <w:i/>
    </w:rPr>
  </w:style>
  <w:style w:type="character" w:styleId="1523" w:customStyle="1">
    <w:name w:val="标题5 Char Char"/>
    <w:link w:val="1524"/>
    <w:uiPriority w:val="0"/>
    <w:qFormat/>
    <w:rPr>
      <w:rFonts w:ascii="Arial" w:hAnsi="Arial"/>
      <w:b/>
      <w:bCs/>
      <w:sz w:val="24"/>
      <w:szCs w:val="32"/>
    </w:rPr>
  </w:style>
  <w:style w:type="paragraph" w:styleId="1524" w:customStyle="1">
    <w:name w:val="标题5"/>
    <w:basedOn w:val="1278"/>
    <w:link w:val="1523"/>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525" w:customStyle="1">
    <w:name w:val="Variable"/>
    <w:uiPriority w:val="0"/>
    <w:qFormat/>
    <w:rPr>
      <w:i/>
    </w:rPr>
  </w:style>
  <w:style w:type="character" w:styleId="1526" w:customStyle="1">
    <w:name w:val="超链接_0"/>
    <w:uiPriority w:val="99"/>
    <w:qFormat/>
    <w:rPr>
      <w:rFonts w:ascii="Calibri" w:hAnsi="Calibri" w:cs="Times New Roman"/>
      <w:color w:val="0000ff"/>
      <w:u w:val="single"/>
    </w:rPr>
  </w:style>
  <w:style w:type="character" w:styleId="1527" w:customStyle="1">
    <w:name w:val="15"/>
    <w:uiPriority w:val="0"/>
    <w:qFormat/>
    <w:rPr>
      <w:rFonts w:ascii="Arial" w:hAnsi="Arial" w:cs="Arial"/>
      <w:b/>
      <w:bCs/>
      <w:sz w:val="32"/>
      <w:szCs w:val="32"/>
    </w:rPr>
  </w:style>
  <w:style w:type="character" w:styleId="1528" w:customStyle="1">
    <w:name w:val="Char Char91"/>
    <w:uiPriority w:val="0"/>
    <w:qFormat/>
    <w:rPr>
      <w:rFonts w:eastAsia="宋体"/>
      <w:b/>
      <w:bCs/>
      <w:sz w:val="32"/>
      <w:szCs w:val="44"/>
      <w:lang w:val="en-US" w:eastAsia="zh-CN" w:bidi="ar-SA"/>
    </w:rPr>
  </w:style>
  <w:style w:type="character" w:styleId="1529" w:customStyle="1">
    <w:name w:val="正文缩进 字符"/>
    <w:uiPriority w:val="0"/>
    <w:qFormat/>
    <w:rPr>
      <w:szCs w:val="24"/>
    </w:rPr>
  </w:style>
  <w:style w:type="character" w:styleId="1530" w:customStyle="1">
    <w:name w:val="日期 Char1"/>
    <w:uiPriority w:val="0"/>
    <w:qFormat/>
    <w:rPr>
      <w:rFonts w:ascii="Times New Roman" w:hAnsi="Times New Roman" w:eastAsia="宋体" w:cs="Times New Roman"/>
      <w:szCs w:val="24"/>
    </w:rPr>
  </w:style>
  <w:style w:type="character" w:styleId="1531" w:customStyle="1">
    <w:name w:val="正文文本缩进 2 字符1"/>
    <w:uiPriority w:val="99"/>
    <w:semiHidden/>
    <w:qFormat/>
    <w:rPr>
      <w:sz w:val="21"/>
      <w:szCs w:val="24"/>
    </w:rPr>
  </w:style>
  <w:style w:type="character" w:styleId="1532" w:customStyle="1">
    <w:name w:val="正文文本首行缩进 2 字符1"/>
    <w:uiPriority w:val="99"/>
    <w:qFormat/>
    <w:rPr>
      <w:rFonts w:ascii="宋体" w:hAnsi="MS Sans Serif"/>
      <w:spacing w:val="12"/>
      <w:sz w:val="21"/>
    </w:rPr>
  </w:style>
  <w:style w:type="character" w:styleId="1533" w:customStyle="1">
    <w:name w:val="正文文本缩进 3 字符1"/>
    <w:uiPriority w:val="99"/>
    <w:semiHidden/>
    <w:qFormat/>
    <w:rPr>
      <w:sz w:val="16"/>
      <w:szCs w:val="16"/>
    </w:rPr>
  </w:style>
  <w:style w:type="character" w:styleId="1534" w:customStyle="1">
    <w:name w:val="more6"/>
    <w:uiPriority w:val="0"/>
    <w:qFormat/>
  </w:style>
  <w:style w:type="character" w:styleId="1535" w:customStyle="1">
    <w:name w:val="HTML Markup"/>
    <w:uiPriority w:val="0"/>
    <w:qFormat/>
    <w:rPr>
      <w:vanish/>
      <w:color w:val="ff0000"/>
    </w:rPr>
  </w:style>
  <w:style w:type="character" w:styleId="1536" w:customStyle="1">
    <w:name w:val="不明显参考1"/>
    <w:uiPriority w:val="0"/>
    <w:qFormat/>
    <w:rPr>
      <w:smallCaps/>
      <w:color w:val="c0504d"/>
      <w:u w:val="single"/>
    </w:rPr>
  </w:style>
  <w:style w:type="character" w:styleId="1537" w:customStyle="1">
    <w:name w:val="font151"/>
    <w:uiPriority w:val="0"/>
    <w:qFormat/>
    <w:rPr>
      <w:rFonts w:ascii="Wingdings 2" w:hAnsi="Wingdings 2" w:eastAsia="Wingdings 2" w:cs="Wingdings 2"/>
      <w:color w:val="000000"/>
      <w:sz w:val="20"/>
      <w:szCs w:val="20"/>
      <w:u w:val="none"/>
    </w:rPr>
  </w:style>
  <w:style w:type="character" w:styleId="1538" w:customStyle="1">
    <w:name w:val="样式 Char"/>
    <w:link w:val="1539"/>
    <w:uiPriority w:val="0"/>
    <w:qFormat/>
    <w:rPr>
      <w:rFonts w:ascii="宋体" w:hAnsi="宋体" w:cs="宋体"/>
      <w:sz w:val="24"/>
      <w:szCs w:val="24"/>
    </w:rPr>
  </w:style>
  <w:style w:type="paragraph" w:styleId="1539" w:customStyle="1">
    <w:name w:val="样式"/>
    <w:link w:val="1538"/>
    <w:uiPriority w:val="0"/>
    <w:qFormat/>
    <w:pPr>
      <w:widowControl w:val="off"/>
    </w:pPr>
    <w:rPr>
      <w:rFonts w:hint="default" w:ascii="宋体" w:hAnsi="宋体" w:eastAsia="等线" w:cs="宋体"/>
      <w:sz w:val="24"/>
      <w:szCs w:val="24"/>
      <w:lang w:val="en-US" w:eastAsia="zh-CN" w:bidi="ar-SA"/>
    </w:rPr>
  </w:style>
  <w:style w:type="character" w:styleId="1540" w:customStyle="1">
    <w:name w:val="明显引用 Char1"/>
    <w:uiPriority w:val="30"/>
    <w:qFormat/>
    <w:rPr>
      <w:rFonts w:ascii="Times New Roman" w:hAnsi="Times New Roman" w:eastAsia="宋体" w:cs="Times New Roman"/>
      <w:b/>
      <w:bCs/>
      <w:i/>
      <w:iCs/>
      <w:color w:val="4f81bd"/>
      <w:szCs w:val="24"/>
    </w:rPr>
  </w:style>
  <w:style w:type="character" w:styleId="1541" w:customStyle="1">
    <w:name w:val="Document Map Char"/>
    <w:uiPriority w:val="0"/>
    <w:qFormat/>
    <w:rPr>
      <w:rFonts w:eastAsia="宋体"/>
      <w:sz w:val="21"/>
      <w:szCs w:val="24"/>
      <w:lang w:val="en-US" w:eastAsia="zh-CN" w:bidi="ar-SA"/>
    </w:rPr>
  </w:style>
  <w:style w:type="character" w:styleId="1542" w:customStyle="1">
    <w:name w:val="副标题 Char1"/>
    <w:uiPriority w:val="0"/>
    <w:qFormat/>
    <w:rPr>
      <w:rFonts w:ascii="Cambria" w:hAnsi="Cambria" w:cs="Times New Roman"/>
      <w:b/>
      <w:bCs/>
      <w:sz w:val="32"/>
      <w:szCs w:val="32"/>
    </w:rPr>
  </w:style>
  <w:style w:type="character" w:styleId="1543" w:customStyle="1">
    <w:name w:val="正文文本首行缩进 字符"/>
    <w:uiPriority w:val="0"/>
    <w:qFormat/>
    <w:rPr>
      <w:rFonts w:ascii="华文中宋" w:eastAsia="华文中宋"/>
      <w:sz w:val="21"/>
    </w:rPr>
  </w:style>
  <w:style w:type="character" w:styleId="1544" w:customStyle="1">
    <w:name w:val="正文文本缩进 字符1"/>
    <w:uiPriority w:val="99"/>
    <w:semiHidden/>
    <w:qFormat/>
    <w:rPr>
      <w:sz w:val="21"/>
      <w:szCs w:val="24"/>
    </w:rPr>
  </w:style>
  <w:style w:type="character" w:styleId="1545" w:customStyle="1">
    <w:name w:val="CODE"/>
    <w:uiPriority w:val="0"/>
    <w:qFormat/>
    <w:rPr>
      <w:rFonts w:ascii="Courier New" w:hAnsi="Courier New"/>
      <w:sz w:val="20"/>
    </w:rPr>
  </w:style>
  <w:style w:type="character" w:styleId="1546" w:customStyle="1">
    <w:name w:val="正文文本缩进 Char1"/>
    <w:uiPriority w:val="0"/>
    <w:qFormat/>
    <w:rPr>
      <w:sz w:val="21"/>
      <w:szCs w:val="24"/>
    </w:rPr>
  </w:style>
  <w:style w:type="character" w:styleId="1547" w:customStyle="1">
    <w:name w:val="文档结构图 Char1"/>
    <w:uiPriority w:val="0"/>
    <w:qFormat/>
    <w:rPr>
      <w:rFonts w:ascii="宋体" w:hAnsi="Times New Roman" w:eastAsia="宋体" w:cs="Times New Roman"/>
      <w:sz w:val="18"/>
      <w:szCs w:val="18"/>
    </w:rPr>
  </w:style>
  <w:style w:type="character" w:styleId="1548" w:customStyle="1">
    <w:name w:val="明显参考1"/>
    <w:uiPriority w:val="0"/>
    <w:qFormat/>
    <w:rPr>
      <w:b/>
      <w:bCs/>
      <w:smallCaps/>
      <w:color w:val="c0504d"/>
      <w:spacing w:val="5"/>
      <w:u w:val="single"/>
    </w:rPr>
  </w:style>
  <w:style w:type="character" w:styleId="1549" w:customStyle="1">
    <w:name w:val="Body Text Indent 2 Char"/>
    <w:uiPriority w:val="0"/>
    <w:qFormat/>
    <w:rPr>
      <w:rFonts w:eastAsia="宋体"/>
      <w:sz w:val="21"/>
      <w:szCs w:val="24"/>
      <w:lang w:val="en-US" w:eastAsia="zh-CN" w:bidi="ar-SA"/>
    </w:rPr>
  </w:style>
  <w:style w:type="character" w:styleId="1550" w:customStyle="1">
    <w:name w:val="Comment Text Char"/>
    <w:uiPriority w:val="0"/>
    <w:qFormat/>
    <w:rPr>
      <w:rFonts w:cs="Times New Roman"/>
      <w:sz w:val="24"/>
      <w:szCs w:val="24"/>
    </w:rPr>
  </w:style>
  <w:style w:type="character" w:styleId="1551" w:customStyle="1">
    <w:name w:val="标题 Char1"/>
    <w:uiPriority w:val="10"/>
    <w:qFormat/>
    <w:rPr>
      <w:rFonts w:ascii="Cambria" w:hAnsi="Cambria" w:eastAsia="宋体" w:cs="Times New Roman"/>
      <w:b/>
      <w:bCs/>
      <w:sz w:val="32"/>
      <w:szCs w:val="32"/>
    </w:rPr>
  </w:style>
  <w:style w:type="character" w:styleId="1552" w:customStyle="1">
    <w:name w:val="批注框文本 字符1"/>
    <w:uiPriority w:val="99"/>
    <w:semiHidden/>
    <w:qFormat/>
    <w:rPr>
      <w:sz w:val="18"/>
      <w:szCs w:val="18"/>
    </w:rPr>
  </w:style>
  <w:style w:type="character" w:styleId="1553" w:customStyle="1">
    <w:name w:val="Footer Char"/>
    <w:uiPriority w:val="0"/>
    <w:qFormat/>
    <w:rPr>
      <w:rFonts w:eastAsia="宋体"/>
      <w:sz w:val="18"/>
      <w:szCs w:val="18"/>
      <w:lang w:val="en-US" w:eastAsia="zh-CN" w:bidi="ar-SA"/>
    </w:rPr>
  </w:style>
  <w:style w:type="character" w:styleId="1554" w:customStyle="1">
    <w:name w:val="正文文本 Char1"/>
    <w:uiPriority w:val="0"/>
    <w:qFormat/>
    <w:rPr>
      <w:sz w:val="21"/>
      <w:szCs w:val="22"/>
    </w:rPr>
  </w:style>
  <w:style w:type="character" w:styleId="1555" w:customStyle="1">
    <w:name w:val="font341"/>
    <w:uiPriority w:val="0"/>
    <w:qFormat/>
    <w:rPr>
      <w:rFonts w:ascii="Times New Roman" w:hAnsi="Times New Roman" w:cs="Times New Roman"/>
      <w:color w:val="000000"/>
      <w:sz w:val="20"/>
      <w:szCs w:val="20"/>
      <w:u w:val="none"/>
    </w:rPr>
  </w:style>
  <w:style w:type="character" w:styleId="1556" w:customStyle="1">
    <w:name w:val="Char Char21"/>
    <w:uiPriority w:val="0"/>
    <w:qFormat/>
    <w:rPr>
      <w:rFonts w:ascii="Arial" w:hAnsi="Arial" w:eastAsia="黑体" w:cs="Times New Roman"/>
      <w:b/>
      <w:bCs/>
      <w:sz w:val="32"/>
      <w:szCs w:val="32"/>
    </w:rPr>
  </w:style>
  <w:style w:type="character" w:styleId="1557" w:customStyle="1">
    <w:name w:val="Balloon Text Char"/>
    <w:uiPriority w:val="0"/>
    <w:qFormat/>
    <w:rPr>
      <w:sz w:val="18"/>
      <w:lang w:bidi="ar-SA"/>
    </w:rPr>
  </w:style>
  <w:style w:type="character" w:styleId="1558" w:customStyle="1">
    <w:name w:val="正文非缩进 Char1"/>
    <w:uiPriority w:val="0"/>
    <w:qFormat/>
  </w:style>
  <w:style w:type="character" w:styleId="1559" w:customStyle="1">
    <w:name w:val="标题 2 Char1"/>
    <w:uiPriority w:val="0"/>
    <w:qFormat/>
    <w:rPr>
      <w:rFonts w:ascii="Arial" w:hAnsi="Arial" w:eastAsia="黑体" w:cs="Calibri"/>
      <w:b/>
      <w:sz w:val="32"/>
      <w:szCs w:val="20"/>
    </w:rPr>
  </w:style>
  <w:style w:type="character" w:styleId="1560" w:customStyle="1">
    <w:name w:val="Heading 2 Char"/>
    <w:uiPriority w:val="0"/>
    <w:qFormat/>
    <w:rPr>
      <w:rFonts w:ascii="Arial" w:hAnsi="Arial" w:eastAsia="黑体"/>
      <w:b/>
      <w:bCs/>
      <w:sz w:val="32"/>
      <w:szCs w:val="32"/>
      <w:lang w:val="en-US" w:eastAsia="zh-CN" w:bidi="ar-SA"/>
    </w:rPr>
  </w:style>
  <w:style w:type="character" w:styleId="1561" w:customStyle="1">
    <w:name w:val="font141"/>
    <w:uiPriority w:val="0"/>
    <w:qFormat/>
    <w:rPr>
      <w:rFonts w:ascii="Times New Roman" w:hAnsi="Times New Roman" w:cs="Times New Roman"/>
      <w:color w:val="000000"/>
      <w:sz w:val="18"/>
      <w:szCs w:val="18"/>
      <w:u w:val="none"/>
    </w:rPr>
  </w:style>
  <w:style w:type="character" w:styleId="1562" w:customStyle="1">
    <w:name w:val="Char Char3"/>
    <w:uiPriority w:val="0"/>
    <w:qFormat/>
    <w:rPr>
      <w:rFonts w:ascii="黑体" w:hAnsi="宋体" w:eastAsia="黑体" w:cs="Arial"/>
      <w:b/>
      <w:bCs/>
      <w:sz w:val="24"/>
      <w:szCs w:val="24"/>
      <w:lang w:val="en-US" w:eastAsia="zh-CN" w:bidi="ar-SA"/>
    </w:rPr>
  </w:style>
  <w:style w:type="character" w:styleId="1563" w:customStyle="1">
    <w:name w:val="引用 字符"/>
    <w:link w:val="1564"/>
    <w:uiPriority w:val="0"/>
    <w:qFormat/>
    <w:rPr>
      <w:i/>
      <w:iCs/>
      <w:color w:val="000000"/>
    </w:rPr>
  </w:style>
  <w:style w:type="paragraph" w:styleId="1564" w:customStyle="1">
    <w:name w:val="引用1"/>
    <w:basedOn w:val="1183"/>
    <w:next w:val="1183"/>
    <w:link w:val="1563"/>
    <w:uiPriority w:val="0"/>
    <w:qFormat/>
    <w:rPr>
      <w:i/>
      <w:iCs/>
      <w:color w:val="000000"/>
    </w:rPr>
  </w:style>
  <w:style w:type="character" w:styleId="1565" w:customStyle="1">
    <w:name w:val="引用 字符1"/>
    <w:uiPriority w:val="29"/>
    <w:qFormat/>
    <w:rPr>
      <w:i/>
      <w:iCs/>
      <w:color w:val="404040"/>
    </w:rPr>
  </w:style>
  <w:style w:type="character" w:styleId="1566" w:customStyle="1">
    <w:name w:val="Date Char"/>
    <w:uiPriority w:val="0"/>
    <w:qFormat/>
    <w:rPr>
      <w:rFonts w:eastAsia="宋体"/>
      <w:sz w:val="21"/>
      <w:szCs w:val="24"/>
      <w:lang w:val="en-US" w:eastAsia="zh-CN" w:bidi="ar-SA"/>
    </w:rPr>
  </w:style>
  <w:style w:type="character" w:styleId="1567" w:customStyle="1">
    <w:name w:val="Char Char9"/>
    <w:uiPriority w:val="0"/>
    <w:qFormat/>
    <w:rPr>
      <w:rFonts w:eastAsia="宋体"/>
      <w:b/>
      <w:bCs/>
      <w:sz w:val="32"/>
      <w:szCs w:val="44"/>
      <w:lang w:val="en-US" w:eastAsia="zh-CN" w:bidi="ar-SA"/>
    </w:rPr>
  </w:style>
  <w:style w:type="character" w:styleId="1568" w:customStyle="1">
    <w:name w:val="font122"/>
    <w:uiPriority w:val="0"/>
    <w:qFormat/>
    <w:rPr>
      <w:rFonts w:hint="eastAsia" w:ascii="宋体" w:hAnsi="宋体" w:eastAsia="宋体" w:cs="宋体"/>
      <w:color w:val="000000"/>
      <w:sz w:val="20"/>
      <w:szCs w:val="20"/>
      <w:u w:val="none"/>
      <w:vertAlign w:val="superscript"/>
    </w:rPr>
  </w:style>
  <w:style w:type="character" w:styleId="1569" w:customStyle="1">
    <w:name w:val="页眉 字符1"/>
    <w:uiPriority w:val="99"/>
    <w:semiHidden/>
    <w:qFormat/>
    <w:rPr>
      <w:sz w:val="18"/>
      <w:szCs w:val="18"/>
    </w:rPr>
  </w:style>
  <w:style w:type="character" w:styleId="1570" w:customStyle="1">
    <w:name w:val="页脚 字符1"/>
    <w:uiPriority w:val="99"/>
    <w:semiHidden/>
    <w:qFormat/>
    <w:rPr>
      <w:sz w:val="18"/>
      <w:szCs w:val="18"/>
    </w:rPr>
  </w:style>
  <w:style w:type="character" w:styleId="1571" w:customStyle="1">
    <w:name w:val="Comment"/>
    <w:uiPriority w:val="0"/>
    <w:qFormat/>
    <w:rPr>
      <w:vanish/>
    </w:rPr>
  </w:style>
  <w:style w:type="character" w:styleId="1572" w:customStyle="1">
    <w:name w:val="font81"/>
    <w:uiPriority w:val="0"/>
    <w:qFormat/>
    <w:rPr>
      <w:rFonts w:hint="eastAsia" w:ascii="宋体" w:hAnsi="宋体" w:eastAsia="宋体" w:cs="宋体"/>
      <w:color w:val="000000"/>
      <w:sz w:val="22"/>
      <w:szCs w:val="22"/>
      <w:u w:val="single"/>
    </w:rPr>
  </w:style>
  <w:style w:type="character" w:styleId="1573" w:customStyle="1">
    <w:name w:val="明显引用 字符"/>
    <w:link w:val="1574"/>
    <w:uiPriority w:val="0"/>
    <w:qFormat/>
    <w:rPr>
      <w:b/>
      <w:bCs/>
      <w:i/>
      <w:iCs/>
      <w:color w:val="4f81bd"/>
    </w:rPr>
  </w:style>
  <w:style w:type="paragraph" w:styleId="1574" w:customStyle="1">
    <w:name w:val="明显引用1"/>
    <w:basedOn w:val="1183"/>
    <w:next w:val="1183"/>
    <w:link w:val="1573"/>
    <w:uiPriority w:val="0"/>
    <w:qFormat/>
    <w:pPr>
      <w:ind w:left="936" w:right="936"/>
      <w:spacing w:before="200" w:after="280"/>
      <w:pBdr>
        <w:bottom w:val="single" w:color="4F81BD" w:sz="4" w:space="4"/>
      </w:pBdr>
    </w:pPr>
    <w:rPr>
      <w:b/>
      <w:bCs/>
      <w:i/>
      <w:iCs/>
      <w:color w:val="4f81bd"/>
    </w:rPr>
  </w:style>
  <w:style w:type="character" w:styleId="1575" w:customStyle="1">
    <w:name w:val="明显引用 字符1"/>
    <w:uiPriority w:val="30"/>
    <w:qFormat/>
    <w:rPr>
      <w:i/>
      <w:iCs/>
      <w:color w:val="4472c4"/>
    </w:rPr>
  </w:style>
  <w:style w:type="character" w:styleId="1576" w:customStyle="1">
    <w:name w:val="Char Char181"/>
    <w:uiPriority w:val="0"/>
    <w:qFormat/>
    <w:rPr>
      <w:b/>
      <w:bCs/>
      <w:sz w:val="44"/>
      <w:szCs w:val="44"/>
    </w:rPr>
  </w:style>
  <w:style w:type="character" w:styleId="1577" w:customStyle="1">
    <w:name w:val="Definition"/>
    <w:uiPriority w:val="0"/>
    <w:qFormat/>
    <w:rPr>
      <w:i/>
    </w:rPr>
  </w:style>
  <w:style w:type="character" w:styleId="1578" w:customStyle="1">
    <w:name w:val="Char Char23"/>
    <w:uiPriority w:val="0"/>
    <w:qFormat/>
    <w:rPr>
      <w:rFonts w:eastAsia="宋体"/>
      <w:b/>
      <w:bCs/>
      <w:sz w:val="32"/>
      <w:szCs w:val="44"/>
      <w:lang w:val="en-US" w:eastAsia="zh-CN" w:bidi="ar-SA"/>
    </w:rPr>
  </w:style>
  <w:style w:type="character" w:styleId="1579" w:customStyle="1">
    <w:name w:val="Para head"/>
    <w:uiPriority w:val="0"/>
    <w:qFormat/>
    <w:rPr>
      <w:rFonts w:ascii="Arial" w:hAnsi="Arial" w:eastAsia="Times New Roman"/>
      <w:sz w:val="20"/>
    </w:rPr>
  </w:style>
  <w:style w:type="character" w:styleId="1580" w:customStyle="1">
    <w:name w:val="【正文】 Char"/>
    <w:link w:val="1581"/>
    <w:uiPriority w:val="0"/>
    <w:qFormat/>
    <w:rPr>
      <w:rFonts w:ascii="宋体" w:hAnsi="宋体" w:cs="宋体"/>
      <w:sz w:val="24"/>
      <w:szCs w:val="24"/>
      <w:lang w:val="zh-CN"/>
    </w:rPr>
  </w:style>
  <w:style w:type="paragraph" w:styleId="1581" w:customStyle="1">
    <w:name w:val="【正文】"/>
    <w:basedOn w:val="1456"/>
    <w:link w:val="1580"/>
    <w:uiPriority w:val="0"/>
    <w:qFormat/>
    <w:pPr>
      <w:ind w:firstLine="480"/>
      <w:tabs>
        <w:tab w:val="clear" w:pos="540" w:leader="none"/>
      </w:tabs>
    </w:pPr>
    <w:rPr>
      <w:rFonts w:hAnsi="宋体" w:eastAsia="等线" w:cs="宋体"/>
      <w:sz w:val="24"/>
      <w:szCs w:val="24"/>
      <w:lang w:val="zh-CN"/>
    </w:rPr>
  </w:style>
  <w:style w:type="character" w:styleId="1582" w:customStyle="1">
    <w:name w:val="Char Char6"/>
    <w:uiPriority w:val="0"/>
    <w:qFormat/>
    <w:rPr>
      <w:rFonts w:eastAsia="宋体"/>
      <w:b/>
      <w:bCs/>
      <w:sz w:val="32"/>
      <w:szCs w:val="44"/>
      <w:lang w:val="en-US" w:eastAsia="zh-CN" w:bidi="ar-SA"/>
    </w:rPr>
  </w:style>
  <w:style w:type="character" w:styleId="1583" w:customStyle="1">
    <w:name w:val="标题 Char2"/>
    <w:uiPriority w:val="0"/>
    <w:qFormat/>
    <w:rPr>
      <w:rFonts w:ascii="Cambria" w:hAnsi="Cambria" w:eastAsia="宋体" w:cs="Times New Roman"/>
      <w:b/>
      <w:bCs/>
      <w:sz w:val="32"/>
      <w:szCs w:val="32"/>
    </w:rPr>
  </w:style>
  <w:style w:type="character" w:styleId="1584" w:customStyle="1">
    <w:name w:val="Char Char22"/>
    <w:uiPriority w:val="0"/>
    <w:qFormat/>
    <w:rPr>
      <w:rFonts w:ascii="Times New Roman" w:hAnsi="Times New Roman" w:eastAsia="宋体" w:cs="Times New Roman"/>
      <w:b/>
      <w:bCs/>
      <w:sz w:val="32"/>
      <w:szCs w:val="44"/>
    </w:rPr>
  </w:style>
  <w:style w:type="character" w:styleId="1585" w:customStyle="1">
    <w:name w:val="样式3 字符"/>
    <w:link w:val="1586"/>
    <w:uiPriority w:val="0"/>
    <w:qFormat/>
    <w:rPr>
      <w:rFonts w:eastAsia="黑体"/>
      <w:b/>
      <w:bCs/>
      <w:sz w:val="32"/>
      <w:szCs w:val="44"/>
    </w:rPr>
  </w:style>
  <w:style w:type="paragraph" w:styleId="1586" w:customStyle="1">
    <w:name w:val="样式3"/>
    <w:basedOn w:val="1398"/>
    <w:link w:val="1585"/>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587" w:customStyle="1">
    <w:name w:val="font71"/>
    <w:uiPriority w:val="0"/>
    <w:qFormat/>
    <w:rPr>
      <w:rFonts w:hint="eastAsia" w:ascii="宋体" w:hAnsi="宋体" w:eastAsia="宋体" w:cs="宋体"/>
      <w:color w:val="000000"/>
      <w:sz w:val="18"/>
      <w:szCs w:val="18"/>
      <w:u w:val="none"/>
    </w:rPr>
  </w:style>
  <w:style w:type="character" w:styleId="1588" w:customStyle="1">
    <w:name w:val="批注框文本 Char1"/>
    <w:uiPriority w:val="0"/>
    <w:qFormat/>
    <w:rPr>
      <w:rFonts w:ascii="Times New Roman" w:hAnsi="Times New Roman" w:eastAsia="宋体" w:cs="Times New Roman"/>
      <w:sz w:val="18"/>
      <w:szCs w:val="18"/>
    </w:rPr>
  </w:style>
  <w:style w:type="character" w:styleId="1589" w:customStyle="1">
    <w:name w:val="font291"/>
    <w:uiPriority w:val="0"/>
    <w:qFormat/>
    <w:rPr>
      <w:rFonts w:hint="eastAsia" w:ascii="宋体" w:hAnsi="宋体" w:eastAsia="宋体" w:cs="宋体"/>
      <w:color w:val="000000"/>
      <w:sz w:val="20"/>
      <w:szCs w:val="20"/>
      <w:u w:val="none"/>
    </w:rPr>
  </w:style>
  <w:style w:type="character" w:styleId="1590" w:customStyle="1">
    <w:name w:val="Char Char18"/>
    <w:uiPriority w:val="0"/>
    <w:qFormat/>
    <w:rPr>
      <w:rFonts w:ascii="Times New Roman" w:hAnsi="Times New Roman" w:eastAsia="宋体" w:cs="Times New Roman"/>
      <w:b/>
      <w:bCs/>
      <w:sz w:val="28"/>
      <w:szCs w:val="28"/>
    </w:rPr>
  </w:style>
  <w:style w:type="character" w:styleId="1591" w:customStyle="1">
    <w:name w:val="表格正文样式 字符"/>
    <w:link w:val="1592"/>
    <w:uiPriority w:val="0"/>
    <w:qFormat/>
    <w:rPr>
      <w:rFonts w:ascii="宋体" w:hAnsi="宋体" w:cs="宋体"/>
      <w:color w:val="000000"/>
      <w:sz w:val="24"/>
      <w:szCs w:val="24"/>
    </w:rPr>
  </w:style>
  <w:style w:type="paragraph" w:styleId="1592" w:customStyle="1">
    <w:name w:val="表格正文样式"/>
    <w:basedOn w:val="1183"/>
    <w:link w:val="1591"/>
    <w:uiPriority w:val="0"/>
    <w:qFormat/>
    <w:pPr>
      <w:widowControl/>
    </w:pPr>
    <w:rPr>
      <w:rFonts w:ascii="宋体" w:hAnsi="宋体" w:cs="宋体"/>
      <w:color w:val="000000"/>
      <w:sz w:val="24"/>
      <w:szCs w:val="24"/>
    </w:rPr>
  </w:style>
  <w:style w:type="character" w:styleId="1593" w:customStyle="1">
    <w:name w:val="font31"/>
    <w:uiPriority w:val="0"/>
    <w:qFormat/>
    <w:rPr>
      <w:rFonts w:hint="eastAsia" w:ascii="宋体" w:hAnsi="宋体" w:eastAsia="宋体" w:cs="宋体"/>
      <w:color w:val="000000"/>
      <w:sz w:val="22"/>
      <w:szCs w:val="22"/>
      <w:u w:val="none"/>
    </w:rPr>
  </w:style>
  <w:style w:type="character" w:styleId="1594" w:customStyle="1">
    <w:name w:val="标题 字符1"/>
    <w:uiPriority w:val="10"/>
    <w:qFormat/>
    <w:rPr>
      <w:rFonts w:ascii="等线 Light" w:hAnsi="等线 Light" w:cs="Times New Roman"/>
      <w:b/>
      <w:bCs/>
      <w:sz w:val="32"/>
      <w:szCs w:val="32"/>
    </w:rPr>
  </w:style>
  <w:style w:type="character" w:styleId="1595" w:customStyle="1">
    <w:name w:val="正文文本 字符1"/>
    <w:uiPriority w:val="99"/>
    <w:semiHidden/>
    <w:qFormat/>
    <w:rPr>
      <w:sz w:val="21"/>
      <w:szCs w:val="24"/>
    </w:rPr>
  </w:style>
  <w:style w:type="character" w:styleId="1596" w:customStyle="1">
    <w:name w:val="标题 3 Char"/>
    <w:uiPriority w:val="9"/>
    <w:qFormat/>
    <w:rPr>
      <w:rFonts w:eastAsia="宋体"/>
      <w:b/>
      <w:sz w:val="32"/>
      <w:lang w:val="en-US" w:eastAsia="zh-CN" w:bidi="ar-SA"/>
    </w:rPr>
  </w:style>
  <w:style w:type="character" w:styleId="1597" w:customStyle="1">
    <w:name w:val="Heading 4 Char"/>
    <w:uiPriority w:val="0"/>
    <w:qFormat/>
    <w:rPr>
      <w:rFonts w:ascii="Arial" w:hAnsi="Arial" w:eastAsia="宋体"/>
      <w:b/>
      <w:bCs/>
      <w:sz w:val="21"/>
      <w:szCs w:val="28"/>
      <w:lang w:val="en-US" w:eastAsia="zh-CN" w:bidi="ar-SA"/>
    </w:rPr>
  </w:style>
  <w:style w:type="character" w:styleId="1598" w:customStyle="1">
    <w:name w:val="副标题 字符1"/>
    <w:uiPriority w:val="11"/>
    <w:qFormat/>
    <w:rPr>
      <w:rFonts w:ascii="等线 Light" w:hAnsi="等线 Light" w:cs="Times New Roman"/>
      <w:b/>
      <w:bCs/>
      <w:sz w:val="32"/>
      <w:szCs w:val="32"/>
    </w:rPr>
  </w:style>
  <w:style w:type="character" w:styleId="1599" w:customStyle="1">
    <w:name w:val="2 级标题 Char"/>
    <w:link w:val="1600"/>
    <w:uiPriority w:val="0"/>
    <w:qFormat/>
    <w:rPr>
      <w:bCs/>
      <w:sz w:val="24"/>
      <w:szCs w:val="32"/>
    </w:rPr>
  </w:style>
  <w:style w:type="paragraph" w:styleId="1600" w:customStyle="1">
    <w:name w:val="2 级标题"/>
    <w:basedOn w:val="1399"/>
    <w:link w:val="1599"/>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601" w:customStyle="1">
    <w:name w:val="font322"/>
    <w:uiPriority w:val="0"/>
    <w:qFormat/>
    <w:rPr>
      <w:rFonts w:hint="eastAsia" w:ascii="宋体" w:hAnsi="宋体" w:eastAsia="宋体" w:cs="宋体"/>
      <w:color w:val="000000"/>
      <w:sz w:val="20"/>
      <w:szCs w:val="20"/>
      <w:u w:val="none"/>
    </w:rPr>
  </w:style>
  <w:style w:type="character" w:styleId="1602" w:customStyle="1">
    <w:name w:val="Heading 1 Char"/>
    <w:uiPriority w:val="0"/>
    <w:qFormat/>
    <w:rPr>
      <w:rFonts w:eastAsia="宋体"/>
      <w:b/>
      <w:bCs/>
      <w:sz w:val="32"/>
      <w:szCs w:val="44"/>
      <w:lang w:val="en-US" w:eastAsia="zh-CN" w:bidi="ar-SA"/>
    </w:rPr>
  </w:style>
  <w:style w:type="character" w:styleId="1603" w:customStyle="1">
    <w:name w:val="Char Char4"/>
    <w:uiPriority w:val="0"/>
    <w:qFormat/>
    <w:rPr>
      <w:rFonts w:ascii="宋体" w:hAnsi="宋体" w:eastAsia="黑体" w:cs="Arial"/>
      <w:b/>
      <w:sz w:val="28"/>
      <w:szCs w:val="32"/>
      <w:lang w:val="en-US" w:eastAsia="zh-CN" w:bidi="ar-SA"/>
    </w:rPr>
  </w:style>
  <w:style w:type="character" w:styleId="1604" w:customStyle="1">
    <w:name w:val="Body Text Indent Char"/>
    <w:uiPriority w:val="0"/>
    <w:qFormat/>
    <w:rPr>
      <w:rFonts w:ascii="宋体" w:hAnsi="宋体" w:eastAsia="宋体"/>
      <w:sz w:val="21"/>
      <w:lang w:val="en-US" w:eastAsia="zh-CN" w:bidi="ar-SA"/>
    </w:rPr>
  </w:style>
  <w:style w:type="character" w:styleId="1605" w:customStyle="1">
    <w:name w:val="日期 字符1"/>
    <w:uiPriority w:val="99"/>
    <w:semiHidden/>
    <w:qFormat/>
    <w:rPr>
      <w:sz w:val="21"/>
      <w:szCs w:val="24"/>
    </w:rPr>
  </w:style>
  <w:style w:type="character" w:styleId="1606" w:customStyle="1">
    <w:name w:val="font361"/>
    <w:uiPriority w:val="0"/>
    <w:qFormat/>
    <w:rPr>
      <w:rFonts w:hint="eastAsia" w:ascii="宋体" w:hAnsi="宋体" w:eastAsia="宋体" w:cs="宋体"/>
      <w:b/>
      <w:color w:val="000000"/>
      <w:sz w:val="20"/>
      <w:szCs w:val="20"/>
      <w:u w:val="none"/>
    </w:rPr>
  </w:style>
  <w:style w:type="character" w:styleId="1607" w:customStyle="1">
    <w:name w:val="脚注文本 字符1"/>
    <w:uiPriority w:val="99"/>
    <w:qFormat/>
    <w:rPr>
      <w:sz w:val="18"/>
      <w:szCs w:val="18"/>
    </w:rPr>
  </w:style>
  <w:style w:type="character" w:styleId="1608" w:customStyle="1">
    <w:name w:val="textcontents"/>
    <w:uiPriority w:val="0"/>
    <w:qFormat/>
    <w:rPr>
      <w:rFonts w:cs="Times New Roman"/>
    </w:rPr>
  </w:style>
  <w:style w:type="character" w:styleId="1609" w:customStyle="1">
    <w:name w:val="纯文本 Char"/>
    <w:uiPriority w:val="99"/>
    <w:qFormat/>
    <w:rPr>
      <w:rFonts w:ascii="宋体" w:hAnsi="Courier New" w:eastAsia="宋体"/>
      <w:sz w:val="21"/>
      <w:lang w:val="en-US" w:eastAsia="zh-CN" w:bidi="ar-SA"/>
    </w:rPr>
  </w:style>
  <w:style w:type="character" w:styleId="1610" w:customStyle="1">
    <w:name w:val="引用 Char1"/>
    <w:uiPriority w:val="29"/>
    <w:qFormat/>
    <w:rPr>
      <w:rFonts w:ascii="Times New Roman" w:hAnsi="Times New Roman" w:eastAsia="宋体" w:cs="Times New Roman"/>
      <w:i/>
      <w:iCs/>
      <w:color w:val="000000"/>
      <w:szCs w:val="24"/>
    </w:rPr>
  </w:style>
  <w:style w:type="character" w:styleId="1611" w:customStyle="1">
    <w:name w:val="正文文本 3 字符1"/>
    <w:uiPriority w:val="99"/>
    <w:qFormat/>
    <w:rPr>
      <w:sz w:val="16"/>
      <w:szCs w:val="16"/>
    </w:rPr>
  </w:style>
  <w:style w:type="character" w:styleId="1612" w:customStyle="1">
    <w:name w:val="Char Char1"/>
    <w:uiPriority w:val="0"/>
    <w:qFormat/>
    <w:rPr>
      <w:rFonts w:ascii="黑体" w:hAnsi="Arial" w:eastAsia="黑体" w:cs="Arial"/>
      <w:b/>
      <w:bCs/>
      <w:sz w:val="32"/>
      <w:szCs w:val="32"/>
      <w:lang w:val="en-US" w:eastAsia="zh-CN" w:bidi="ar-SA"/>
    </w:rPr>
  </w:style>
  <w:style w:type="character" w:styleId="1613" w:customStyle="1">
    <w:name w:val="font381"/>
    <w:uiPriority w:val="0"/>
    <w:qFormat/>
    <w:rPr>
      <w:rFonts w:hint="eastAsia" w:ascii="宋体" w:hAnsi="宋体" w:eastAsia="宋体" w:cs="宋体"/>
      <w:color w:val="000000"/>
      <w:sz w:val="20"/>
      <w:szCs w:val="20"/>
      <w:u w:val="none"/>
    </w:rPr>
  </w:style>
  <w:style w:type="character" w:styleId="1614" w:customStyle="1">
    <w:name w:val="font61"/>
    <w:uiPriority w:val="0"/>
    <w:qFormat/>
    <w:rPr>
      <w:rFonts w:ascii="Times New Roman" w:hAnsi="Times New Roman" w:cs="Times New Roman"/>
      <w:color w:val="000000"/>
      <w:sz w:val="24"/>
      <w:szCs w:val="24"/>
      <w:u w:val="none"/>
    </w:rPr>
  </w:style>
  <w:style w:type="character" w:styleId="1615" w:customStyle="1">
    <w:name w:val="font01"/>
    <w:uiPriority w:val="0"/>
    <w:qFormat/>
    <w:rPr>
      <w:rFonts w:ascii="Times New Roman" w:hAnsi="Times New Roman" w:cs="Times New Roman"/>
      <w:color w:val="000000"/>
      <w:sz w:val="24"/>
      <w:szCs w:val="24"/>
      <w:u w:val="none"/>
    </w:rPr>
  </w:style>
  <w:style w:type="character" w:styleId="1616" w:customStyle="1">
    <w:name w:val="正文文本 2 字符1"/>
    <w:uiPriority w:val="99"/>
    <w:qFormat/>
    <w:rPr>
      <w:sz w:val="21"/>
    </w:rPr>
  </w:style>
  <w:style w:type="character" w:styleId="1617" w:customStyle="1">
    <w:name w:val="批注文字 字符1"/>
    <w:uiPriority w:val="99"/>
    <w:semiHidden/>
    <w:qFormat/>
    <w:rPr>
      <w:sz w:val="21"/>
      <w:szCs w:val="24"/>
    </w:rPr>
  </w:style>
  <w:style w:type="character" w:styleId="1618" w:customStyle="1">
    <w:name w:val="文档结构图 字符1"/>
    <w:uiPriority w:val="99"/>
    <w:semiHidden/>
    <w:qFormat/>
    <w:rPr>
      <w:rFonts w:ascii="Microsoft YaHei UI" w:eastAsia="Microsoft YaHei UI"/>
      <w:sz w:val="18"/>
      <w:szCs w:val="18"/>
    </w:rPr>
  </w:style>
  <w:style w:type="character" w:styleId="1619" w:customStyle="1">
    <w:name w:val="Heading 3 Char"/>
    <w:uiPriority w:val="0"/>
    <w:qFormat/>
    <w:rPr>
      <w:rFonts w:cs="Times New Roman"/>
      <w:b/>
      <w:bCs/>
      <w:sz w:val="32"/>
      <w:szCs w:val="32"/>
    </w:rPr>
  </w:style>
  <w:style w:type="character" w:styleId="1620" w:customStyle="1">
    <w:name w:val="Sample"/>
    <w:uiPriority w:val="0"/>
    <w:qFormat/>
    <w:rPr>
      <w:rFonts w:ascii="Courier New" w:hAnsi="Courier New"/>
    </w:rPr>
  </w:style>
  <w:style w:type="character" w:styleId="1621" w:customStyle="1">
    <w:name w:val="Char Char"/>
    <w:uiPriority w:val="0"/>
    <w:qFormat/>
    <w:rPr>
      <w:rFonts w:eastAsia="宋体"/>
      <w:b/>
      <w:sz w:val="21"/>
      <w:szCs w:val="24"/>
      <w:lang w:val="en-US" w:eastAsia="zh-CN" w:bidi="ar-SA"/>
    </w:rPr>
  </w:style>
  <w:style w:type="character" w:styleId="1622" w:customStyle="1">
    <w:name w:val="Heading 5 Char"/>
    <w:uiPriority w:val="0"/>
    <w:qFormat/>
    <w:rPr>
      <w:rFonts w:eastAsia="宋体"/>
      <w:b/>
      <w:bCs/>
      <w:sz w:val="28"/>
      <w:szCs w:val="28"/>
      <w:lang w:val="en-US" w:eastAsia="zh-CN" w:bidi="ar-SA"/>
    </w:rPr>
  </w:style>
  <w:style w:type="character" w:styleId="1623" w:customStyle="1">
    <w:name w:val="font21"/>
    <w:uiPriority w:val="0"/>
    <w:qFormat/>
    <w:rPr>
      <w:rFonts w:hint="eastAsia" w:ascii="宋体" w:hAnsi="宋体" w:eastAsia="宋体" w:cs="宋体"/>
      <w:b/>
      <w:color w:val="000000"/>
      <w:sz w:val="24"/>
      <w:szCs w:val="24"/>
      <w:u w:val="none"/>
    </w:rPr>
  </w:style>
  <w:style w:type="character" w:styleId="1624" w:customStyle="1">
    <w:name w:val="Char Char19"/>
    <w:uiPriority w:val="0"/>
    <w:qFormat/>
    <w:rPr>
      <w:rFonts w:ascii="Arial" w:hAnsi="Arial" w:eastAsia="宋体" w:cs="Times New Roman"/>
      <w:b/>
      <w:bCs/>
      <w:szCs w:val="28"/>
    </w:rPr>
  </w:style>
  <w:style w:type="character" w:styleId="1625" w:customStyle="1">
    <w:name w:val="font41"/>
    <w:uiPriority w:val="0"/>
    <w:qFormat/>
    <w:rPr>
      <w:rFonts w:hint="eastAsia" w:ascii="宋体" w:hAnsi="宋体" w:eastAsia="宋体" w:cs="宋体"/>
      <w:color w:val="000000"/>
      <w:sz w:val="24"/>
      <w:szCs w:val="24"/>
      <w:u w:val="none"/>
    </w:rPr>
  </w:style>
  <w:style w:type="character" w:styleId="1626" w:customStyle="1">
    <w:name w:val="Typewriter"/>
    <w:uiPriority w:val="0"/>
    <w:qFormat/>
    <w:rPr>
      <w:rFonts w:ascii="Courier New" w:hAnsi="Courier New"/>
      <w:sz w:val="20"/>
    </w:rPr>
  </w:style>
  <w:style w:type="character" w:styleId="1627" w:customStyle="1">
    <w:name w:val="Comment Subject Char"/>
    <w:uiPriority w:val="0"/>
    <w:qFormat/>
    <w:rPr>
      <w:b/>
      <w:sz w:val="24"/>
      <w:lang w:bidi="ar-SA"/>
    </w:rPr>
  </w:style>
  <w:style w:type="character" w:styleId="1628" w:customStyle="1">
    <w:name w:val="纯文本 字符1"/>
    <w:uiPriority w:val="99"/>
    <w:semiHidden/>
    <w:qFormat/>
    <w:rPr>
      <w:rFonts w:ascii="等线" w:hAnsi="Courier New" w:eastAsia="等线" w:cs="Courier New"/>
      <w:sz w:val="21"/>
      <w:szCs w:val="24"/>
    </w:rPr>
  </w:style>
  <w:style w:type="character" w:styleId="1629" w:customStyle="1">
    <w:name w:val="标题4 Char Char"/>
    <w:link w:val="1630"/>
    <w:uiPriority w:val="0"/>
    <w:qFormat/>
    <w:rPr>
      <w:rFonts w:ascii="Arial" w:hAnsi="Arial"/>
      <w:b/>
      <w:bCs/>
      <w:sz w:val="24"/>
      <w:szCs w:val="32"/>
    </w:rPr>
  </w:style>
  <w:style w:type="paragraph" w:styleId="1630" w:customStyle="1">
    <w:name w:val="标题4"/>
    <w:basedOn w:val="1399"/>
    <w:next w:val="1434"/>
    <w:link w:val="1629"/>
    <w:uiPriority w:val="0"/>
    <w:qFormat/>
    <w:pPr>
      <w:jc w:val="center"/>
      <w:spacing w:before="60" w:after="60"/>
    </w:pPr>
    <w:rPr>
      <w:rFonts w:eastAsia="等线"/>
      <w:sz w:val="24"/>
    </w:rPr>
  </w:style>
  <w:style w:type="character" w:styleId="1631" w:customStyle="1">
    <w:name w:val="Heading 3 Char1"/>
    <w:uiPriority w:val="0"/>
    <w:qFormat/>
    <w:rPr>
      <w:rFonts w:eastAsia="宋体"/>
      <w:b/>
      <w:bCs/>
      <w:sz w:val="24"/>
      <w:szCs w:val="32"/>
      <w:lang w:val="en-US" w:eastAsia="zh-CN" w:bidi="ar-SA"/>
    </w:rPr>
  </w:style>
  <w:style w:type="character" w:styleId="1632"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633" w:customStyle="1">
    <w:name w:val="font51"/>
    <w:uiPriority w:val="0"/>
    <w:qFormat/>
    <w:rPr>
      <w:rFonts w:ascii="Calibri" w:hAnsi="Calibri" w:cs="Calibri"/>
      <w:color w:val="000000"/>
      <w:sz w:val="24"/>
      <w:szCs w:val="24"/>
      <w:u w:val="none"/>
    </w:rPr>
  </w:style>
  <w:style w:type="character" w:styleId="1634" w:customStyle="1">
    <w:name w:val="不明显强调1"/>
    <w:uiPriority w:val="0"/>
    <w:qFormat/>
    <w:rPr>
      <w:i/>
      <w:iCs/>
      <w:color w:val="808080"/>
    </w:rPr>
  </w:style>
  <w:style w:type="character" w:styleId="1635" w:customStyle="1">
    <w:name w:val="批注主题 Char1"/>
    <w:uiPriority w:val="0"/>
    <w:qFormat/>
    <w:rPr>
      <w:rFonts w:ascii="Times New Roman" w:hAnsi="Times New Roman" w:eastAsia="宋体" w:cs="Times New Roman"/>
      <w:b/>
      <w:bCs/>
      <w:sz w:val="20"/>
      <w:szCs w:val="20"/>
    </w:rPr>
  </w:style>
  <w:style w:type="character" w:styleId="1636" w:customStyle="1">
    <w:name w:val="Char Char24"/>
    <w:uiPriority w:val="0"/>
    <w:qFormat/>
    <w:rPr>
      <w:rFonts w:eastAsia="宋体"/>
      <w:b/>
      <w:bCs/>
      <w:sz w:val="32"/>
      <w:szCs w:val="44"/>
      <w:lang w:val="en-US" w:eastAsia="zh-CN" w:bidi="ar-SA"/>
    </w:rPr>
  </w:style>
  <w:style w:type="character" w:styleId="1637" w:customStyle="1">
    <w:name w:val="Char Char20"/>
    <w:uiPriority w:val="0"/>
    <w:qFormat/>
    <w:rPr>
      <w:rFonts w:ascii="Times New Roman" w:hAnsi="Times New Roman" w:eastAsia="宋体" w:cs="Times New Roman"/>
      <w:b/>
      <w:bCs/>
      <w:sz w:val="24"/>
      <w:szCs w:val="32"/>
    </w:rPr>
  </w:style>
  <w:style w:type="character" w:styleId="1638" w:customStyle="1">
    <w:name w:val="书籍标题1"/>
    <w:uiPriority w:val="0"/>
    <w:qFormat/>
    <w:rPr>
      <w:b/>
      <w:bCs/>
      <w:smallCaps/>
      <w:spacing w:val="5"/>
    </w:rPr>
  </w:style>
  <w:style w:type="character" w:styleId="1639" w:customStyle="1">
    <w:name w:val="Keyboard"/>
    <w:uiPriority w:val="0"/>
    <w:qFormat/>
    <w:rPr>
      <w:rFonts w:ascii="Courier New" w:hAnsi="Courier New"/>
      <w:b/>
      <w:sz w:val="20"/>
    </w:rPr>
  </w:style>
  <w:style w:type="character" w:styleId="1640" w:customStyle="1">
    <w:name w:val="批注主题 字符1"/>
    <w:uiPriority w:val="99"/>
    <w:semiHidden/>
    <w:qFormat/>
    <w:rPr>
      <w:b/>
      <w:bCs/>
      <w:sz w:val="21"/>
      <w:szCs w:val="24"/>
    </w:rPr>
  </w:style>
  <w:style w:type="character" w:styleId="1641" w:customStyle="1">
    <w:name w:val="页脚 Char"/>
    <w:uiPriority w:val="99"/>
    <w:qFormat/>
    <w:rPr>
      <w:sz w:val="18"/>
      <w:szCs w:val="18"/>
    </w:rPr>
  </w:style>
  <w:style w:type="character" w:styleId="1642" w:customStyle="1">
    <w:name w:val="Title Char"/>
    <w:uiPriority w:val="0"/>
    <w:qFormat/>
    <w:rPr>
      <w:rFonts w:ascii="Cambria" w:hAnsi="Cambria"/>
      <w:b/>
      <w:sz w:val="32"/>
      <w:lang w:bidi="ar-SA"/>
    </w:rPr>
  </w:style>
  <w:style w:type="paragraph" w:styleId="1643" w:customStyle="1">
    <w:name w:val="三级标题"/>
    <w:basedOn w:val="1278"/>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644" w:customStyle="1">
    <w:name w:val="表格正文"/>
    <w:basedOn w:val="1183"/>
    <w:uiPriority w:val="0"/>
    <w:qFormat/>
    <w:pPr>
      <w:ind w:firstLine="200"/>
      <w:spacing w:line="360" w:lineRule="auto"/>
    </w:pPr>
    <w:rPr>
      <w:rFonts w:ascii="宋体" w:hAnsi="Times New Roman" w:eastAsia="宋体"/>
      <w:sz w:val="24"/>
      <w:szCs w:val="20"/>
    </w:rPr>
  </w:style>
  <w:style w:type="paragraph" w:styleId="1645" w:customStyle="1">
    <w:name w:val="标题 H5"/>
    <w:basedOn w:val="1183"/>
    <w:next w:val="1183"/>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646" w:customStyle="1">
    <w:name w:val="段"/>
    <w:basedOn w:val="1183"/>
    <w:uiPriority w:val="0"/>
    <w:qFormat/>
    <w:pPr>
      <w:ind w:firstLine="200"/>
      <w:spacing w:line="360" w:lineRule="auto"/>
      <w:widowControl/>
    </w:pPr>
    <w:rPr>
      <w:rFonts w:ascii="宋体" w:hAnsi="宋体" w:eastAsia="宋体" w:cs="宋体"/>
      <w:szCs w:val="21"/>
    </w:rPr>
  </w:style>
  <w:style w:type="paragraph" w:styleId="1647"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48" w:customStyle="1">
    <w:name w:val="标题 H4"/>
    <w:basedOn w:val="1183"/>
    <w:next w:val="1183"/>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649" w:customStyle="1">
    <w:name w:val="表格标题"/>
    <w:basedOn w:val="1183"/>
    <w:next w:val="1183"/>
    <w:uiPriority w:val="0"/>
    <w:qFormat/>
    <w:pPr>
      <w:jc w:val="left"/>
      <w:spacing w:after="160"/>
    </w:pPr>
    <w:rPr>
      <w:rFonts w:ascii="仿宋" w:hAnsi="仿宋" w:eastAsia="仿宋"/>
      <w:b/>
      <w:bCs/>
      <w:sz w:val="22"/>
      <w:szCs w:val="21"/>
    </w:rPr>
  </w:style>
  <w:style w:type="paragraph" w:styleId="1650" w:customStyle="1">
    <w:name w:val="xl46"/>
    <w:basedOn w:val="11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651"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52" w:customStyle="1">
    <w:name w:val="xl370"/>
    <w:basedOn w:val="11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53" w:customStyle="1">
    <w:name w:val="k 正文"/>
    <w:basedOn w:val="1183"/>
    <w:uiPriority w:val="0"/>
    <w:qFormat/>
    <w:pPr>
      <w:ind w:firstLine="200"/>
      <w:spacing w:line="360" w:lineRule="auto"/>
    </w:pPr>
    <w:rPr>
      <w:rFonts w:ascii="Times New Roman" w:hAnsi="Times New Roman" w:eastAsia="宋体"/>
    </w:rPr>
  </w:style>
  <w:style w:type="paragraph" w:styleId="1654" w:customStyle="1">
    <w:name w:val="font17"/>
    <w:basedOn w:val="1183"/>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655" w:customStyle="1">
    <w:name w:val="H1"/>
    <w:basedOn w:val="1183"/>
    <w:next w:val="1183"/>
    <w:uiPriority w:val="0"/>
    <w:qFormat/>
    <w:pPr>
      <w:jc w:val="left"/>
      <w:keepNext/>
      <w:spacing w:before="100" w:after="100"/>
      <w:outlineLvl w:val="1"/>
    </w:pPr>
    <w:rPr>
      <w:rFonts w:ascii="Times New Roman" w:hAnsi="Times New Roman" w:eastAsia="宋体"/>
      <w:b/>
      <w:sz w:val="48"/>
      <w:szCs w:val="20"/>
    </w:rPr>
  </w:style>
  <w:style w:type="paragraph" w:styleId="1656" w:customStyle="1">
    <w:name w:val="Char"/>
    <w:basedOn w:val="1183"/>
    <w:uiPriority w:val="0"/>
    <w:qFormat/>
    <w:pPr>
      <w:jc w:val="left"/>
      <w:spacing w:after="160" w:line="240" w:lineRule="exact"/>
      <w:widowControl/>
    </w:pPr>
    <w:rPr>
      <w:rFonts w:ascii="Times New Roman" w:hAnsi="Times New Roman" w:eastAsia="宋体"/>
      <w:szCs w:val="24"/>
    </w:rPr>
  </w:style>
  <w:style w:type="paragraph" w:styleId="1657" w:customStyle="1">
    <w:name w:val="reader-word-layer"/>
    <w:basedOn w:val="1183"/>
    <w:uiPriority w:val="0"/>
    <w:qFormat/>
    <w:pPr>
      <w:jc w:val="left"/>
      <w:spacing w:before="100" w:beforeAutospacing="1" w:after="100" w:afterAutospacing="1"/>
      <w:widowControl/>
    </w:pPr>
    <w:rPr>
      <w:rFonts w:ascii="宋体" w:hAnsi="宋体" w:eastAsia="宋体" w:cs="宋体"/>
      <w:sz w:val="24"/>
      <w:szCs w:val="24"/>
    </w:rPr>
  </w:style>
  <w:style w:type="paragraph" w:styleId="1658" w:customStyle="1">
    <w:name w:val="xl66"/>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59" w:customStyle="1">
    <w:name w:val="xl78"/>
    <w:basedOn w:val="11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660" w:customStyle="1">
    <w:name w:val="xl36"/>
    <w:basedOn w:val="11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661" w:customStyle="1">
    <w:name w:val="xl25"/>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662" w:customStyle="1">
    <w:name w:val="目录文字"/>
    <w:basedOn w:val="1183"/>
    <w:uiPriority w:val="0"/>
    <w:qFormat/>
    <w:pPr>
      <w:jc w:val="left"/>
      <w:spacing w:line="480" w:lineRule="auto"/>
      <w:widowControl/>
    </w:pPr>
    <w:rPr>
      <w:rFonts w:ascii="宋体" w:hAnsi="宋体" w:eastAsia="宋体"/>
      <w:sz w:val="24"/>
      <w:szCs w:val="20"/>
    </w:rPr>
  </w:style>
  <w:style w:type="paragraph" w:styleId="1663" w:customStyle="1">
    <w:name w:val="列表段落2"/>
    <w:basedOn w:val="1183"/>
    <w:uiPriority w:val="0"/>
    <w:qFormat/>
    <w:pPr>
      <w:ind w:firstLine="420"/>
    </w:pPr>
    <w:rPr>
      <w:rFonts w:ascii="Times New Roman" w:hAnsi="Times New Roman" w:eastAsia="宋体"/>
      <w:szCs w:val="21"/>
    </w:rPr>
  </w:style>
  <w:style w:type="paragraph" w:styleId="1664" w:customStyle="1">
    <w:name w:val="空半行"/>
    <w:basedOn w:val="1183"/>
    <w:uiPriority w:val="0"/>
    <w:qFormat/>
    <w:pPr>
      <w:spacing w:line="120" w:lineRule="exact"/>
    </w:pPr>
    <w:rPr>
      <w:rFonts w:ascii="Times New Roman" w:hAnsi="Times New Roman" w:eastAsia="仿宋_GB2312"/>
      <w:color w:val="ffffff"/>
      <w:sz w:val="30"/>
      <w:szCs w:val="20"/>
    </w:rPr>
  </w:style>
  <w:style w:type="paragraph" w:styleId="1665" w:customStyle="1">
    <w:name w:val="xl42"/>
    <w:basedOn w:val="11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666" w:customStyle="1">
    <w:name w:val="xl45"/>
    <w:basedOn w:val="11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667" w:customStyle="1">
    <w:name w:val="内容文本"/>
    <w:basedOn w:val="1485"/>
    <w:uiPriority w:val="0"/>
    <w:qFormat/>
    <w:pPr>
      <w:contextualSpacing/>
      <w:ind w:firstLine="200"/>
      <w:jc w:val="left"/>
      <w:spacing w:line="360" w:lineRule="auto"/>
    </w:pPr>
    <w:rPr>
      <w:rFonts w:ascii="宋体" w:hAnsi="宋体" w:eastAsia="宋体"/>
      <w:sz w:val="24"/>
      <w:lang w:eastAsia="en-US" w:bidi="en-US"/>
    </w:rPr>
  </w:style>
  <w:style w:type="paragraph" w:styleId="1668" w:customStyle="1">
    <w:name w:val="font12"/>
    <w:basedOn w:val="1183"/>
    <w:uiPriority w:val="0"/>
    <w:qFormat/>
    <w:pPr>
      <w:jc w:val="left"/>
      <w:spacing w:before="100" w:beforeAutospacing="1" w:after="100" w:afterAutospacing="1"/>
      <w:widowControl/>
    </w:pPr>
    <w:rPr>
      <w:rFonts w:ascii="宋体" w:hAnsi="宋体" w:eastAsia="宋体" w:cs="宋体"/>
      <w:b/>
      <w:bCs/>
      <w:sz w:val="22"/>
    </w:rPr>
  </w:style>
  <w:style w:type="paragraph" w:styleId="1669" w:customStyle="1">
    <w:name w:val="1"/>
    <w:basedOn w:val="1183"/>
    <w:next w:val="1183"/>
    <w:uiPriority w:val="0"/>
    <w:qFormat/>
    <w:rPr>
      <w:rFonts w:ascii="Times New Roman" w:hAnsi="Times New Roman" w:eastAsia="宋体"/>
      <w:szCs w:val="24"/>
    </w:rPr>
  </w:style>
  <w:style w:type="paragraph" w:styleId="1670" w:customStyle="1">
    <w:name w:val="_Style 1"/>
    <w:basedOn w:val="1183"/>
    <w:uiPriority w:val="0"/>
    <w:qFormat/>
    <w:pPr>
      <w:ind w:firstLine="420"/>
    </w:pPr>
    <w:rPr>
      <w:rFonts w:ascii="Times New Roman" w:hAnsi="Times New Roman" w:eastAsia="宋体"/>
      <w:sz w:val="20"/>
      <w:szCs w:val="20"/>
    </w:rPr>
  </w:style>
  <w:style w:type="paragraph" w:styleId="1671" w:customStyle="1">
    <w:name w:val="xl67"/>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72" w:customStyle="1">
    <w:name w:val="xl39"/>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673" w:customStyle="1">
    <w:name w:val="xl102"/>
    <w:basedOn w:val="11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74" w:customStyle="1">
    <w:name w:val="font7"/>
    <w:basedOn w:val="1183"/>
    <w:uiPriority w:val="0"/>
    <w:qFormat/>
    <w:pPr>
      <w:jc w:val="left"/>
      <w:spacing w:before="100" w:beforeAutospacing="1" w:after="100" w:afterAutospacing="1"/>
      <w:widowControl/>
    </w:pPr>
    <w:rPr>
      <w:rFonts w:ascii="宋体" w:hAnsi="宋体" w:eastAsia="宋体" w:cs="宋体"/>
      <w:sz w:val="16"/>
      <w:szCs w:val="16"/>
    </w:rPr>
  </w:style>
  <w:style w:type="paragraph" w:styleId="1675" w:customStyle="1">
    <w:name w:val="xl108"/>
    <w:basedOn w:val="118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76" w:customStyle="1">
    <w:name w:val="TOC 标题_0"/>
    <w:basedOn w:val="1677"/>
    <w:next w:val="1491"/>
    <w:uiPriority w:val="0"/>
    <w:qFormat/>
    <w:pPr>
      <w:outlineLvl w:val="9"/>
    </w:pPr>
    <w:rPr>
      <w:rFonts w:ascii="Calibri" w:hAnsi="Calibri"/>
    </w:rPr>
  </w:style>
  <w:style w:type="paragraph" w:styleId="1677" w:customStyle="1">
    <w:name w:val="标题 1_0"/>
    <w:basedOn w:val="1491"/>
    <w:next w:val="1491"/>
    <w:uiPriority w:val="0"/>
    <w:qFormat/>
    <w:pPr>
      <w:keepLines/>
      <w:keepNext/>
      <w:spacing w:before="340" w:after="330" w:line="576" w:lineRule="auto"/>
      <w:outlineLvl w:val="0"/>
    </w:pPr>
    <w:rPr>
      <w:b/>
      <w:bCs/>
      <w:sz w:val="44"/>
      <w:szCs w:val="44"/>
    </w:rPr>
  </w:style>
  <w:style w:type="paragraph" w:styleId="1678" w:customStyle="1">
    <w:name w:val="xl95"/>
    <w:basedOn w:val="11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679" w:customStyle="1">
    <w:name w:val="xl35"/>
    <w:basedOn w:val="11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680" w:customStyle="1">
    <w:name w:val="标题 3_0"/>
    <w:basedOn w:val="1491"/>
    <w:next w:val="1491"/>
    <w:uiPriority w:val="0"/>
    <w:qFormat/>
    <w:pPr>
      <w:keepLines/>
      <w:keepNext/>
      <w:spacing w:before="260" w:after="260" w:line="413" w:lineRule="auto"/>
      <w:outlineLvl w:val="2"/>
    </w:pPr>
    <w:rPr>
      <w:b/>
      <w:bCs/>
      <w:sz w:val="32"/>
      <w:szCs w:val="32"/>
    </w:rPr>
  </w:style>
  <w:style w:type="paragraph" w:styleId="1681" w:customStyle="1">
    <w:name w:val="xl37"/>
    <w:basedOn w:val="11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82" w:customStyle="1">
    <w:name w:val="xl23"/>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683" w:customStyle="1">
    <w:name w:val="Char Char6 Char Char Char Char"/>
    <w:basedOn w:val="1183"/>
    <w:uiPriority w:val="0"/>
    <w:qFormat/>
    <w:pPr>
      <w:jc w:val="left"/>
      <w:spacing w:after="160" w:line="240" w:lineRule="exact"/>
      <w:widowControl/>
    </w:pPr>
    <w:rPr>
      <w:rFonts w:ascii="仿宋_GB2312" w:hAnsi="Times New Roman" w:eastAsia="仿宋_GB2312"/>
      <w:sz w:val="32"/>
      <w:szCs w:val="32"/>
    </w:rPr>
  </w:style>
  <w:style w:type="paragraph" w:styleId="1684"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85" w:customStyle="1">
    <w:name w:val="列出段落21"/>
    <w:basedOn w:val="1183"/>
    <w:uiPriority w:val="34"/>
    <w:qFormat/>
    <w:pPr>
      <w:ind w:firstLine="420"/>
    </w:pPr>
    <w:rPr>
      <w:rFonts w:ascii="Times New Roman" w:hAnsi="Times New Roman" w:eastAsia="宋体"/>
      <w:szCs w:val="20"/>
    </w:rPr>
  </w:style>
  <w:style w:type="paragraph" w:styleId="1686" w:customStyle="1">
    <w:name w:val="xl70"/>
    <w:basedOn w:val="11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87" w:customStyle="1">
    <w:name w:val="msonormal"/>
    <w:basedOn w:val="1183"/>
    <w:uiPriority w:val="0"/>
    <w:qFormat/>
    <w:pPr>
      <w:jc w:val="left"/>
      <w:spacing w:before="100" w:beforeAutospacing="1" w:after="100" w:afterAutospacing="1"/>
      <w:widowControl/>
    </w:pPr>
    <w:rPr>
      <w:rFonts w:ascii="宋体" w:hAnsi="宋体" w:eastAsia="宋体" w:cs="宋体"/>
      <w:sz w:val="24"/>
      <w:szCs w:val="24"/>
    </w:rPr>
  </w:style>
  <w:style w:type="paragraph" w:styleId="1688" w:customStyle="1">
    <w:name w:val="xl82"/>
    <w:basedOn w:val="11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89" w:customStyle="1">
    <w:name w:val="xl101"/>
    <w:basedOn w:val="118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90" w:customStyle="1">
    <w:name w:val="xl91"/>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91" w:customStyle="1">
    <w:name w:val="xl110"/>
    <w:basedOn w:val="11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92" w:customStyle="1">
    <w:name w:val="flNote"/>
    <w:basedOn w:val="1183"/>
    <w:uiPriority w:val="0"/>
    <w:qFormat/>
    <w:pPr>
      <w:jc w:val="center"/>
      <w:spacing w:before="320" w:after="160" w:line="360" w:lineRule="atLeast"/>
    </w:pPr>
    <w:rPr>
      <w:rFonts w:ascii="Arial" w:hAnsi="Times New Roman" w:eastAsia="黑体"/>
      <w:sz w:val="30"/>
      <w:szCs w:val="20"/>
    </w:rPr>
  </w:style>
  <w:style w:type="paragraph" w:styleId="1693" w:customStyle="1">
    <w:name w:val="xl98"/>
    <w:basedOn w:val="11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94" w:customStyle="1">
    <w:name w:val="Char Char Char Char"/>
    <w:basedOn w:val="1420"/>
    <w:uiPriority w:val="0"/>
    <w:qFormat/>
    <w:pPr>
      <w:spacing w:line="360" w:lineRule="auto"/>
    </w:pPr>
    <w:rPr>
      <w:rFonts w:ascii="Tahoma" w:hAnsi="Tahoma"/>
      <w:sz w:val="24"/>
      <w:szCs w:val="24"/>
    </w:rPr>
  </w:style>
  <w:style w:type="paragraph" w:styleId="1695" w:customStyle="1">
    <w:name w:val="xl71"/>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96" w:customStyle="1">
    <w:name w:val="样式 (西文) 仿宋_GB2312 居中 行距: 1.5 倍行距"/>
    <w:basedOn w:val="1183"/>
    <w:uiPriority w:val="0"/>
    <w:qFormat/>
    <w:pPr>
      <w:jc w:val="center"/>
      <w:spacing w:line="360" w:lineRule="auto"/>
    </w:pPr>
    <w:rPr>
      <w:rFonts w:ascii="宋体" w:hAnsi="宋体" w:eastAsia="宋体" w:cs="宋体"/>
      <w:szCs w:val="20"/>
    </w:rPr>
  </w:style>
  <w:style w:type="paragraph" w:styleId="1697" w:customStyle="1">
    <w:name w:val="xl80"/>
    <w:basedOn w:val="11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98" w:customStyle="1">
    <w:name w:val="H6"/>
    <w:basedOn w:val="1183"/>
    <w:next w:val="1183"/>
    <w:uiPriority w:val="0"/>
    <w:qFormat/>
    <w:pPr>
      <w:jc w:val="left"/>
      <w:keepNext/>
      <w:spacing w:before="100" w:after="100"/>
      <w:outlineLvl w:val="6"/>
    </w:pPr>
    <w:rPr>
      <w:rFonts w:ascii="Times New Roman" w:hAnsi="Times New Roman" w:eastAsia="宋体"/>
      <w:b/>
      <w:sz w:val="16"/>
      <w:szCs w:val="20"/>
    </w:rPr>
  </w:style>
  <w:style w:type="paragraph" w:styleId="1699" w:customStyle="1">
    <w:name w:val="菲页(卷)"/>
    <w:basedOn w:val="1398"/>
    <w:next w:val="1651"/>
    <w:uiPriority w:val="0"/>
    <w:qFormat/>
    <w:pPr>
      <w:ind w:left="1380" w:hanging="855"/>
      <w:tabs>
        <w:tab w:val="left" w:pos="1380" w:leader="none"/>
      </w:tabs>
      <w:outlineLvl w:val="1"/>
    </w:pPr>
  </w:style>
  <w:style w:type="paragraph" w:styleId="1700" w:customStyle="1">
    <w:name w:val="xl49"/>
    <w:basedOn w:val="11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701" w:customStyle="1">
    <w:name w:val="font18"/>
    <w:basedOn w:val="1183"/>
    <w:uiPriority w:val="0"/>
    <w:qFormat/>
    <w:pPr>
      <w:jc w:val="left"/>
      <w:spacing w:before="100" w:beforeAutospacing="1" w:after="100" w:afterAutospacing="1"/>
      <w:widowControl/>
    </w:pPr>
    <w:rPr>
      <w:rFonts w:ascii="Times New Roman" w:hAnsi="Times New Roman" w:eastAsia="宋体"/>
      <w:sz w:val="22"/>
    </w:rPr>
  </w:style>
  <w:style w:type="paragraph" w:styleId="1702" w:customStyle="1">
    <w:name w:val="样式 小四 段前: 5 磅 段后: 5 磅 首行缩进:  2 字符"/>
    <w:basedOn w:val="1183"/>
    <w:uiPriority w:val="0"/>
    <w:qFormat/>
    <w:pPr>
      <w:spacing w:line="360" w:lineRule="auto"/>
    </w:pPr>
    <w:rPr>
      <w:rFonts w:ascii="宋体" w:hAnsi="宋体" w:eastAsia="宋体"/>
      <w:szCs w:val="21"/>
    </w:rPr>
  </w:style>
  <w:style w:type="paragraph" w:styleId="1703" w:customStyle="1">
    <w:name w:val="xl81"/>
    <w:basedOn w:val="1183"/>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704" w:customStyle="1">
    <w:name w:val="font10"/>
    <w:basedOn w:val="1183"/>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705" w:customStyle="1">
    <w:name w:val="彩色列表1"/>
    <w:basedOn w:val="1183"/>
    <w:uiPriority w:val="99"/>
    <w:qFormat/>
    <w:pPr>
      <w:ind w:firstLine="420"/>
    </w:pPr>
    <w:rPr>
      <w:rFonts w:ascii="Calibri" w:hAnsi="Calibri" w:eastAsia="宋体"/>
    </w:rPr>
  </w:style>
  <w:style w:type="paragraph" w:styleId="1706" w:customStyle="1">
    <w:name w:val="xl104"/>
    <w:basedOn w:val="118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707" w:customStyle="1">
    <w:name w:val="_Style 9"/>
    <w:basedOn w:val="1183"/>
    <w:uiPriority w:val="0"/>
    <w:qFormat/>
    <w:pPr>
      <w:ind w:firstLine="420"/>
    </w:pPr>
    <w:rPr>
      <w:rFonts w:ascii="Calibri" w:hAnsi="Calibri" w:eastAsia="宋体"/>
      <w:szCs w:val="24"/>
    </w:rPr>
  </w:style>
  <w:style w:type="paragraph" w:styleId="1708">
    <w:name w:val="List Paragraph"/>
    <w:basedOn w:val="1183"/>
    <w:uiPriority w:val="0"/>
    <w:qFormat/>
    <w:pPr>
      <w:ind w:firstLine="420"/>
    </w:pPr>
    <w:rPr>
      <w:rFonts w:ascii="Times New Roman" w:hAnsi="Times New Roman" w:eastAsia="宋体"/>
      <w:szCs w:val="21"/>
    </w:rPr>
  </w:style>
  <w:style w:type="paragraph" w:styleId="1709" w:customStyle="1">
    <w:name w:val="xl43"/>
    <w:basedOn w:val="11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710" w:customStyle="1">
    <w:name w:val="xl51"/>
    <w:basedOn w:val="11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711" w:customStyle="1">
    <w:name w:val="xl31"/>
    <w:basedOn w:val="11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712" w:customStyle="1">
    <w:name w:val="标题_0"/>
    <w:basedOn w:val="1713"/>
    <w:uiPriority w:val="0"/>
    <w:qFormat/>
    <w:pPr>
      <w:jc w:val="center"/>
      <w:spacing w:before="120" w:after="120" w:line="360" w:lineRule="auto"/>
      <w:outlineLvl w:val="0"/>
    </w:pPr>
    <w:rPr>
      <w:rFonts w:ascii="黑体" w:hAnsi="Arial" w:eastAsia="黑体"/>
      <w:b/>
      <w:bCs/>
      <w:sz w:val="32"/>
      <w:szCs w:val="32"/>
    </w:rPr>
  </w:style>
  <w:style w:type="paragraph" w:styleId="1713" w:customStyle="1">
    <w:name w:val="正文_1"/>
    <w:uiPriority w:val="0"/>
    <w:qFormat/>
    <w:rPr>
      <w:rFonts w:hint="default" w:ascii="Times New Roman" w:hAnsi="Times New Roman" w:eastAsia="宋体" w:cs="Times New Roman"/>
      <w:sz w:val="21"/>
      <w:szCs w:val="22"/>
      <w:lang w:val="en-US" w:eastAsia="zh-CN" w:bidi="ar-SA"/>
    </w:rPr>
  </w:style>
  <w:style w:type="paragraph" w:styleId="1714" w:customStyle="1">
    <w:name w:val="Address"/>
    <w:basedOn w:val="1183"/>
    <w:next w:val="1183"/>
    <w:uiPriority w:val="0"/>
    <w:qFormat/>
    <w:pPr>
      <w:jc w:val="left"/>
    </w:pPr>
    <w:rPr>
      <w:rFonts w:ascii="Times New Roman" w:hAnsi="Times New Roman" w:eastAsia="宋体"/>
      <w:i/>
      <w:sz w:val="24"/>
      <w:szCs w:val="20"/>
    </w:rPr>
  </w:style>
  <w:style w:type="paragraph" w:styleId="1715" w:customStyle="1">
    <w:name w:val="xl367"/>
    <w:basedOn w:val="1183"/>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716" w:customStyle="1">
    <w:name w:val="Char11"/>
    <w:basedOn w:val="1183"/>
    <w:uiPriority w:val="0"/>
    <w:qFormat/>
    <w:rPr>
      <w:rFonts w:ascii="Times New Roman" w:hAnsi="Times New Roman" w:eastAsia="宋体"/>
      <w:szCs w:val="24"/>
    </w:rPr>
  </w:style>
  <w:style w:type="paragraph" w:styleId="1717" w:customStyle="1">
    <w:name w:val="xl38"/>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718" w:customStyle="1">
    <w:name w:val="Definition List"/>
    <w:basedOn w:val="1183"/>
    <w:next w:val="1719"/>
    <w:uiPriority w:val="0"/>
    <w:qFormat/>
    <w:pPr>
      <w:ind w:left="360"/>
      <w:jc w:val="left"/>
    </w:pPr>
    <w:rPr>
      <w:rFonts w:ascii="Times New Roman" w:hAnsi="Times New Roman" w:eastAsia="宋体"/>
      <w:sz w:val="24"/>
      <w:szCs w:val="20"/>
    </w:rPr>
  </w:style>
  <w:style w:type="paragraph" w:styleId="1719" w:customStyle="1">
    <w:name w:val="Definition Term"/>
    <w:basedOn w:val="1183"/>
    <w:next w:val="1718"/>
    <w:uiPriority w:val="0"/>
    <w:qFormat/>
    <w:pPr>
      <w:jc w:val="left"/>
    </w:pPr>
    <w:rPr>
      <w:rFonts w:ascii="Times New Roman" w:hAnsi="Times New Roman" w:eastAsia="宋体"/>
      <w:sz w:val="24"/>
      <w:szCs w:val="20"/>
    </w:rPr>
  </w:style>
  <w:style w:type="paragraph" w:styleId="1720" w:customStyle="1">
    <w:name w:val="font16"/>
    <w:basedOn w:val="1183"/>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721" w:customStyle="1">
    <w:name w:val="xl48"/>
    <w:basedOn w:val="11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72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3" w:customStyle="1">
    <w:name w:val="xl96"/>
    <w:basedOn w:val="11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724" w:customStyle="1">
    <w:name w:val="Char Char Char Char1"/>
    <w:basedOn w:val="1183"/>
    <w:uiPriority w:val="0"/>
    <w:qFormat/>
    <w:pPr>
      <w:jc w:val="left"/>
      <w:spacing w:after="160" w:line="240" w:lineRule="exact"/>
      <w:widowControl/>
    </w:pPr>
    <w:rPr>
      <w:rFonts w:ascii="Verdana" w:hAnsi="Verdana" w:eastAsia="宋体"/>
      <w:sz w:val="20"/>
      <w:szCs w:val="20"/>
      <w:lang w:eastAsia="en-US"/>
    </w:rPr>
  </w:style>
  <w:style w:type="paragraph" w:styleId="1725" w:customStyle="1">
    <w:name w:val="xl76"/>
    <w:basedOn w:val="11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26" w:customStyle="1">
    <w:name w:val="H5"/>
    <w:basedOn w:val="1183"/>
    <w:next w:val="1183"/>
    <w:uiPriority w:val="0"/>
    <w:qFormat/>
    <w:pPr>
      <w:jc w:val="left"/>
      <w:keepNext/>
      <w:spacing w:before="100" w:after="100"/>
      <w:outlineLvl w:val="5"/>
    </w:pPr>
    <w:rPr>
      <w:rFonts w:ascii="Times New Roman" w:hAnsi="Times New Roman" w:eastAsia="宋体"/>
      <w:b/>
      <w:sz w:val="20"/>
      <w:szCs w:val="20"/>
    </w:rPr>
  </w:style>
  <w:style w:type="paragraph" w:styleId="1727" w:customStyle="1">
    <w:name w:val="H4"/>
    <w:basedOn w:val="1183"/>
    <w:next w:val="1183"/>
    <w:uiPriority w:val="0"/>
    <w:qFormat/>
    <w:pPr>
      <w:jc w:val="left"/>
      <w:keepNext/>
      <w:spacing w:before="100" w:after="100"/>
      <w:outlineLvl w:val="4"/>
    </w:pPr>
    <w:rPr>
      <w:rFonts w:ascii="Times New Roman" w:hAnsi="Times New Roman" w:eastAsia="宋体"/>
      <w:b/>
      <w:sz w:val="24"/>
      <w:szCs w:val="20"/>
    </w:rPr>
  </w:style>
  <w:style w:type="paragraph" w:styleId="1728" w:customStyle="1">
    <w:name w:val="xl369"/>
    <w:basedOn w:val="11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29" w:customStyle="1">
    <w:name w:val="xl109"/>
    <w:basedOn w:val="11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730" w:customStyle="1">
    <w:name w:val="标题 4_0"/>
    <w:basedOn w:val="1491"/>
    <w:next w:val="1491"/>
    <w:uiPriority w:val="0"/>
    <w:qFormat/>
    <w:pPr>
      <w:keepLines/>
      <w:keepNext/>
      <w:spacing w:before="280" w:after="290" w:line="372" w:lineRule="auto"/>
      <w:outlineLvl w:val="3"/>
    </w:pPr>
    <w:rPr>
      <w:rFonts w:ascii="Cambria" w:hAnsi="Cambria"/>
      <w:b/>
      <w:bCs/>
      <w:sz w:val="28"/>
      <w:szCs w:val="28"/>
    </w:rPr>
  </w:style>
  <w:style w:type="paragraph" w:styleId="1731" w:customStyle="1">
    <w:name w:val="xl79"/>
    <w:basedOn w:val="11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732" w:customStyle="1">
    <w:name w:val="p0"/>
    <w:basedOn w:val="1183"/>
    <w:uiPriority w:val="0"/>
    <w:qFormat/>
    <w:pPr>
      <w:widowControl/>
    </w:pPr>
    <w:rPr>
      <w:rFonts w:ascii="Calibri" w:hAnsi="Calibri" w:eastAsia="宋体" w:cs="宋体"/>
      <w:szCs w:val="21"/>
    </w:rPr>
  </w:style>
  <w:style w:type="paragraph" w:styleId="1733" w:customStyle="1">
    <w:name w:val="font0"/>
    <w:basedOn w:val="1183"/>
    <w:uiPriority w:val="0"/>
    <w:qFormat/>
    <w:pPr>
      <w:jc w:val="left"/>
      <w:spacing w:before="100" w:beforeAutospacing="1" w:after="100" w:afterAutospacing="1"/>
      <w:widowControl/>
    </w:pPr>
    <w:rPr>
      <w:rFonts w:ascii="宋体" w:hAnsi="宋体" w:eastAsia="宋体" w:cs="宋体"/>
      <w:color w:val="000000"/>
      <w:sz w:val="22"/>
    </w:rPr>
  </w:style>
  <w:style w:type="paragraph" w:styleId="1734" w:customStyle="1">
    <w:name w:val="xl73"/>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35" w:customStyle="1">
    <w:name w:val="font14"/>
    <w:basedOn w:val="1183"/>
    <w:uiPriority w:val="0"/>
    <w:qFormat/>
    <w:pPr>
      <w:jc w:val="left"/>
      <w:spacing w:before="100" w:beforeAutospacing="1" w:after="100" w:afterAutospacing="1"/>
      <w:widowControl/>
    </w:pPr>
    <w:rPr>
      <w:rFonts w:ascii="宋体" w:hAnsi="宋体" w:eastAsia="宋体" w:cs="宋体"/>
      <w:sz w:val="12"/>
      <w:szCs w:val="12"/>
    </w:rPr>
  </w:style>
  <w:style w:type="paragraph" w:styleId="1736" w:customStyle="1">
    <w:name w:val="项目编号3"/>
    <w:basedOn w:val="1183"/>
    <w:next w:val="1183"/>
    <w:uiPriority w:val="0"/>
    <w:qFormat/>
    <w:pPr>
      <w:ind w:firstLine="200"/>
      <w:jc w:val="left"/>
      <w:spacing w:line="360" w:lineRule="auto"/>
      <w:tabs>
        <w:tab w:val="left" w:pos="855" w:leader="none"/>
      </w:tabs>
    </w:pPr>
    <w:rPr>
      <w:rFonts w:ascii="宋体" w:hAnsi="Times New Roman" w:eastAsia="宋体"/>
      <w:sz w:val="24"/>
      <w:szCs w:val="24"/>
    </w:rPr>
  </w:style>
  <w:style w:type="paragraph" w:styleId="1737" w:customStyle="1">
    <w:name w:val="xl40"/>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738"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739" w:customStyle="1">
    <w:name w:val="菲页2"/>
    <w:basedOn w:val="1278"/>
    <w:uiPriority w:val="0"/>
    <w:qFormat/>
    <w:pPr>
      <w:ind w:left="2265" w:hanging="900"/>
      <w:tabs>
        <w:tab w:val="left" w:pos="2265" w:leader="none"/>
      </w:tabs>
    </w:pPr>
    <w:rPr>
      <w:rFonts w:ascii="黑体" w:hAnsi="宋体" w:eastAsia="黑体"/>
      <w:b w:val="0"/>
      <w:sz w:val="44"/>
    </w:rPr>
  </w:style>
  <w:style w:type="paragraph" w:styleId="1740" w:customStyle="1">
    <w:name w:val="xl83"/>
    <w:basedOn w:val="11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41" w:customStyle="1">
    <w:name w:val="xl111"/>
    <w:basedOn w:val="118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742" w:customStyle="1">
    <w:name w:val="Char Char1 Char"/>
    <w:basedOn w:val="1183"/>
    <w:uiPriority w:val="0"/>
    <w:qFormat/>
    <w:pPr>
      <w:jc w:val="left"/>
      <w:spacing w:after="160" w:line="240" w:lineRule="exact"/>
      <w:widowControl/>
    </w:pPr>
    <w:rPr>
      <w:rFonts w:ascii="仿宋_GB2312" w:hAnsi="Times New Roman" w:eastAsia="仿宋_GB2312"/>
      <w:sz w:val="32"/>
      <w:szCs w:val="32"/>
    </w:rPr>
  </w:style>
  <w:style w:type="paragraph" w:styleId="1743" w:customStyle="1">
    <w:name w:val="样式 标题 2 + Times New Roman 四号 非加粗 段前: 5 磅 段后: 0 磅 行距: 固定值 20..."/>
    <w:basedOn w:val="1399"/>
    <w:uiPriority w:val="0"/>
    <w:qFormat/>
    <w:pPr>
      <w:jc w:val="center"/>
      <w:spacing w:before="100" w:after="0" w:line="400" w:lineRule="exact"/>
    </w:pPr>
    <w:rPr>
      <w:rFonts w:ascii="Times New Roman" w:hAnsi="Times New Roman" w:cs="宋体"/>
      <w:b w:val="0"/>
      <w:bCs w:val="0"/>
      <w:sz w:val="28"/>
      <w:szCs w:val="20"/>
    </w:rPr>
  </w:style>
  <w:style w:type="paragraph" w:styleId="1744" w:customStyle="1">
    <w:name w:val="font13"/>
    <w:basedOn w:val="1183"/>
    <w:uiPriority w:val="0"/>
    <w:qFormat/>
    <w:pPr>
      <w:jc w:val="left"/>
      <w:spacing w:before="100" w:beforeAutospacing="1" w:after="100" w:afterAutospacing="1"/>
      <w:widowControl/>
    </w:pPr>
    <w:rPr>
      <w:rFonts w:ascii="Times New Roman" w:hAnsi="Times New Roman" w:eastAsia="宋体"/>
      <w:b/>
      <w:bCs/>
      <w:sz w:val="22"/>
    </w:rPr>
  </w:style>
  <w:style w:type="paragraph" w:styleId="1745" w:customStyle="1">
    <w:name w:val="H3"/>
    <w:basedOn w:val="1183"/>
    <w:next w:val="1183"/>
    <w:uiPriority w:val="0"/>
    <w:qFormat/>
    <w:pPr>
      <w:jc w:val="left"/>
      <w:keepNext/>
      <w:spacing w:before="100" w:after="100"/>
      <w:outlineLvl w:val="3"/>
    </w:pPr>
    <w:rPr>
      <w:rFonts w:ascii="Times New Roman" w:hAnsi="Times New Roman" w:eastAsia="宋体"/>
      <w:b/>
      <w:sz w:val="28"/>
      <w:szCs w:val="20"/>
    </w:rPr>
  </w:style>
  <w:style w:type="paragraph" w:styleId="1746" w:customStyle="1">
    <w:name w:val="xl100"/>
    <w:basedOn w:val="118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747" w:customStyle="1">
    <w:name w:val="Char Char Char Char Char Char Char"/>
    <w:basedOn w:val="1183"/>
    <w:uiPriority w:val="0"/>
    <w:qFormat/>
    <w:pPr>
      <w:jc w:val="left"/>
      <w:spacing w:after="160" w:line="240" w:lineRule="exact"/>
      <w:widowControl/>
    </w:pPr>
    <w:rPr>
      <w:rFonts w:ascii="Times New Roman" w:hAnsi="Times New Roman" w:eastAsia="宋体"/>
      <w:szCs w:val="24"/>
    </w:rPr>
  </w:style>
  <w:style w:type="paragraph" w:styleId="1748" w:customStyle="1">
    <w:name w:val="xl90"/>
    <w:basedOn w:val="11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749" w:customStyle="1">
    <w:name w:val="xl365"/>
    <w:basedOn w:val="118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750" w:customStyle="1">
    <w:name w:val="正文文本_0"/>
    <w:basedOn w:val="1491"/>
    <w:uiPriority w:val="0"/>
    <w:qFormat/>
    <w:pPr>
      <w:ind w:left="72" w:right="30"/>
      <w:jc w:val="center"/>
      <w:spacing w:after="60" w:line="360" w:lineRule="atLeast"/>
    </w:pPr>
    <w:rPr>
      <w:sz w:val="20"/>
      <w:szCs w:val="20"/>
    </w:rPr>
  </w:style>
  <w:style w:type="paragraph" w:styleId="1751" w:customStyle="1">
    <w:name w:val="font11"/>
    <w:basedOn w:val="1183"/>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752" w:customStyle="1">
    <w:name w:val="修订1"/>
    <w:uiPriority w:val="0"/>
    <w:unhideWhenUsed/>
    <w:qFormat/>
    <w:rPr>
      <w:rFonts w:hint="default" w:ascii="Times New Roman" w:hAnsi="Times New Roman" w:eastAsia="宋体" w:cs="Times New Roman"/>
      <w:sz w:val="21"/>
      <w:lang w:val="en-US" w:eastAsia="zh-CN" w:bidi="ar-SA"/>
    </w:rPr>
  </w:style>
  <w:style w:type="paragraph" w:styleId="1753" w:customStyle="1">
    <w:name w:val="xl105"/>
    <w:basedOn w:val="11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754" w:customStyle="1">
    <w:name w:val="font6"/>
    <w:basedOn w:val="1183"/>
    <w:uiPriority w:val="0"/>
    <w:qFormat/>
    <w:pPr>
      <w:jc w:val="left"/>
      <w:spacing w:before="100" w:beforeAutospacing="1" w:after="100" w:afterAutospacing="1"/>
      <w:widowControl/>
    </w:pPr>
    <w:rPr>
      <w:rFonts w:ascii="宋体" w:hAnsi="宋体" w:eastAsia="宋体" w:cs="宋体"/>
      <w:sz w:val="22"/>
    </w:rPr>
  </w:style>
  <w:style w:type="paragraph" w:styleId="1755" w:customStyle="1">
    <w:name w:val="xl87"/>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756" w:customStyle="1">
    <w:name w:val="默认段落字体 Para Char"/>
    <w:basedOn w:val="1183"/>
    <w:uiPriority w:val="0"/>
    <w:qFormat/>
    <w:pPr>
      <w:ind w:firstLine="200"/>
      <w:spacing w:line="360" w:lineRule="auto"/>
    </w:pPr>
    <w:rPr>
      <w:rFonts w:ascii="宋体" w:hAnsi="宋体" w:eastAsia="宋体" w:cs="宋体"/>
      <w:sz w:val="24"/>
      <w:szCs w:val="24"/>
    </w:rPr>
  </w:style>
  <w:style w:type="paragraph" w:styleId="1757" w:customStyle="1">
    <w:name w:val="纯文本3"/>
    <w:basedOn w:val="1183"/>
    <w:uiPriority w:val="0"/>
    <w:qFormat/>
    <w:rPr>
      <w:rFonts w:ascii="宋体" w:hAnsi="Courier New" w:eastAsia="楷体_GB2312"/>
      <w:sz w:val="26"/>
      <w:szCs w:val="20"/>
    </w:rPr>
  </w:style>
  <w:style w:type="paragraph" w:styleId="1758" w:customStyle="1">
    <w:name w:val="Char Char Char Char Char Char1 Char"/>
    <w:basedOn w:val="1183"/>
    <w:uiPriority w:val="0"/>
    <w:qFormat/>
    <w:pPr>
      <w:jc w:val="left"/>
      <w:spacing w:after="160" w:line="240" w:lineRule="exact"/>
      <w:widowControl/>
    </w:pPr>
    <w:rPr>
      <w:rFonts w:ascii="Verdana" w:hAnsi="Verdana" w:eastAsia="宋体"/>
      <w:szCs w:val="20"/>
      <w:lang w:eastAsia="en-US"/>
    </w:rPr>
  </w:style>
  <w:style w:type="paragraph" w:styleId="1759" w:customStyle="1">
    <w:name w:val="xl50"/>
    <w:basedOn w:val="11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760" w:customStyle="1">
    <w:name w:val="xl85"/>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761" w:customStyle="1">
    <w:name w:val="样式 标题 3 + (中文) 黑体 小四 非加粗 段前: 7.8 磅 段后: 0 磅 行距: 固定值 20 磅"/>
    <w:basedOn w:val="1278"/>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762" w:customStyle="1">
    <w:name w:val="xl94"/>
    <w:basedOn w:val="1183"/>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763" w:customStyle="1">
    <w:name w:val="表格"/>
    <w:basedOn w:val="1183"/>
    <w:uiPriority w:val="0"/>
    <w:qFormat/>
    <w:pPr>
      <w:jc w:val="center"/>
    </w:pPr>
    <w:rPr>
      <w:rFonts w:ascii="华文细黑" w:hAnsi="华文细黑" w:eastAsia="宋体"/>
      <w:szCs w:val="20"/>
    </w:rPr>
  </w:style>
  <w:style w:type="paragraph" w:styleId="1764" w:customStyle="1">
    <w:name w:val="默认段落字体 Para Char Char Char Char Char Char Char"/>
    <w:basedOn w:val="1183"/>
    <w:uiPriority w:val="0"/>
    <w:qFormat/>
    <w:rPr>
      <w:rFonts w:ascii="Tahoma" w:hAnsi="Tahoma" w:eastAsia="宋体"/>
      <w:sz w:val="24"/>
      <w:szCs w:val="20"/>
    </w:rPr>
  </w:style>
  <w:style w:type="paragraph" w:styleId="1765" w:customStyle="1">
    <w:name w:val="xl27"/>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766" w:customStyle="1">
    <w:name w:val="xl92"/>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767" w:customStyle="1">
    <w:name w:val="Char Char2"/>
    <w:basedOn w:val="1183"/>
    <w:uiPriority w:val="0"/>
    <w:qFormat/>
    <w:pPr>
      <w:spacing w:line="240" w:lineRule="exact"/>
    </w:pPr>
    <w:rPr>
      <w:rFonts w:ascii="Times New Roman" w:hAnsi="Times New Roman" w:eastAsia="宋体"/>
      <w:szCs w:val="24"/>
    </w:rPr>
  </w:style>
  <w:style w:type="paragraph" w:styleId="1768" w:customStyle="1">
    <w:name w:val="Blockquote"/>
    <w:basedOn w:val="1183"/>
    <w:uiPriority w:val="0"/>
    <w:qFormat/>
    <w:pPr>
      <w:ind w:left="360" w:right="360"/>
      <w:jc w:val="left"/>
      <w:spacing w:before="100" w:after="100"/>
    </w:pPr>
    <w:rPr>
      <w:rFonts w:ascii="Calibri" w:hAnsi="Calibri" w:eastAsia="宋体"/>
      <w:sz w:val="24"/>
      <w:szCs w:val="20"/>
    </w:rPr>
  </w:style>
  <w:style w:type="paragraph" w:styleId="1769" w:customStyle="1">
    <w:name w:val="xl371"/>
    <w:basedOn w:val="118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70" w:customStyle="1">
    <w:name w:val="Table Paragraph"/>
    <w:basedOn w:val="1183"/>
    <w:uiPriority w:val="0"/>
    <w:qFormat/>
    <w:pPr>
      <w:jc w:val="left"/>
    </w:pPr>
    <w:rPr>
      <w:rFonts w:ascii="PMingLiU" w:hAnsi="PMingLiU" w:eastAsia="PMingLiU" w:cs="PMingLiU"/>
      <w:sz w:val="22"/>
      <w:lang w:val="zh-CN" w:bidi="zh-CN"/>
    </w:rPr>
  </w:style>
  <w:style w:type="paragraph" w:styleId="1771" w:customStyle="1">
    <w:name w:val="xl69"/>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72" w:customStyle="1">
    <w:name w:val="xl97"/>
    <w:basedOn w:val="11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773" w:customStyle="1">
    <w:name w:val="xl106"/>
    <w:basedOn w:val="11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774" w:customStyle="1">
    <w:name w:val="font19"/>
    <w:basedOn w:val="1183"/>
    <w:uiPriority w:val="0"/>
    <w:qFormat/>
    <w:pPr>
      <w:jc w:val="left"/>
      <w:spacing w:before="100" w:beforeAutospacing="1" w:after="100" w:afterAutospacing="1"/>
      <w:widowControl/>
    </w:pPr>
    <w:rPr>
      <w:rFonts w:ascii="Times New Roman" w:hAnsi="Times New Roman" w:eastAsia="宋体"/>
      <w:sz w:val="12"/>
      <w:szCs w:val="12"/>
    </w:rPr>
  </w:style>
  <w:style w:type="paragraph" w:styleId="1775" w:customStyle="1">
    <w:name w:val="xl89"/>
    <w:basedOn w:val="11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776" w:customStyle="1">
    <w:name w:val="_Style 37"/>
    <w:basedOn w:val="1183"/>
    <w:next w:val="1183"/>
    <w:uiPriority w:val="0"/>
    <w:qFormat/>
    <w:rPr>
      <w:rFonts w:ascii="Times New Roman" w:hAnsi="Times New Roman" w:eastAsia="宋体"/>
      <w:szCs w:val="24"/>
    </w:rPr>
  </w:style>
  <w:style w:type="paragraph" w:styleId="1777" w:customStyle="1">
    <w:name w:val="font15"/>
    <w:basedOn w:val="1183"/>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778" w:customStyle="1">
    <w:name w:val="目录"/>
    <w:basedOn w:val="1183"/>
    <w:uiPriority w:val="0"/>
    <w:qFormat/>
    <w:pPr>
      <w:jc w:val="center"/>
      <w:widowControl/>
    </w:pPr>
    <w:rPr>
      <w:rFonts w:ascii="宋体" w:hAnsi="Times New Roman" w:eastAsia="宋体"/>
      <w:b/>
      <w:sz w:val="36"/>
      <w:szCs w:val="20"/>
    </w:rPr>
  </w:style>
  <w:style w:type="paragraph" w:styleId="1779" w:customStyle="1">
    <w:name w:val="2-2ji"/>
    <w:basedOn w:val="1399"/>
    <w:uiPriority w:val="0"/>
    <w:qFormat/>
    <w:pPr>
      <w:jc w:val="center"/>
      <w:spacing w:before="0" w:after="0" w:line="360" w:lineRule="auto"/>
    </w:pPr>
    <w:rPr>
      <w:rFonts w:ascii="宋体" w:hAnsi="宋体" w:eastAsia="宋体"/>
      <w:sz w:val="36"/>
      <w:szCs w:val="24"/>
    </w:rPr>
  </w:style>
  <w:style w:type="paragraph" w:styleId="1780" w:customStyle="1">
    <w:name w:val="xl77"/>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781" w:customStyle="1">
    <w:name w:val="List Paragraph1"/>
    <w:basedOn w:val="1183"/>
    <w:uiPriority w:val="0"/>
    <w:qFormat/>
    <w:pPr>
      <w:ind w:firstLine="420"/>
    </w:pPr>
    <w:rPr>
      <w:rFonts w:ascii="Times New Roman" w:hAnsi="Times New Roman" w:eastAsia="宋体"/>
      <w:szCs w:val="21"/>
    </w:rPr>
  </w:style>
  <w:style w:type="paragraph" w:styleId="1782" w:customStyle="1">
    <w:name w:val="TOC 标题2"/>
    <w:basedOn w:val="1398"/>
    <w:next w:val="1183"/>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783" w:customStyle="1">
    <w:name w:val="xl103"/>
    <w:basedOn w:val="118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784" w:customStyle="1">
    <w:name w:val="font9"/>
    <w:basedOn w:val="1183"/>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785" w:customStyle="1">
    <w:name w:val="xl366"/>
    <w:basedOn w:val="118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786" w:customStyle="1">
    <w:name w:val="样式 标题 1 + 黑体 三号 非加粗 居中 段前: 6 磅 段后: 6 磅 行距: 固定值 20 磅"/>
    <w:basedOn w:val="1398"/>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787" w:customStyle="1">
    <w:name w:val="xl107"/>
    <w:basedOn w:val="118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788" w:customStyle="1">
    <w:name w:val="xl368"/>
    <w:basedOn w:val="11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89" w:customStyle="1">
    <w:name w:val="xl68"/>
    <w:basedOn w:val="1183"/>
    <w:uiPriority w:val="0"/>
    <w:qFormat/>
    <w:pPr>
      <w:jc w:val="center"/>
      <w:spacing w:before="100" w:beforeAutospacing="1" w:after="100" w:afterAutospacing="1"/>
      <w:widowControl/>
    </w:pPr>
    <w:rPr>
      <w:rFonts w:ascii="宋体" w:hAnsi="宋体" w:eastAsia="宋体" w:cs="宋体"/>
      <w:sz w:val="20"/>
      <w:szCs w:val="20"/>
    </w:rPr>
  </w:style>
  <w:style w:type="paragraph" w:styleId="1790" w:customStyle="1">
    <w:name w:val="样式1"/>
    <w:basedOn w:val="1183"/>
    <w:uiPriority w:val="0"/>
    <w:qFormat/>
    <w:pPr>
      <w:spacing w:before="120" w:after="120" w:line="300" w:lineRule="auto"/>
    </w:pPr>
    <w:rPr>
      <w:rFonts w:ascii="宋体" w:hAnsi="宋体" w:eastAsia="宋体"/>
      <w:b/>
      <w:sz w:val="24"/>
      <w:szCs w:val="20"/>
    </w:rPr>
  </w:style>
  <w:style w:type="paragraph" w:styleId="1791" w:customStyle="1">
    <w:name w:val="xl88"/>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792" w:customStyle="1">
    <w:name w:val="xl84"/>
    <w:basedOn w:val="1183"/>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79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794" w:customStyle="1">
    <w:name w:val="xl47"/>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95" w:customStyle="1">
    <w:name w:val="z-Bottom of Form"/>
    <w:next w:val="118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796" w:customStyle="1">
    <w:name w:val="z-Top of Form"/>
    <w:next w:val="118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797" w:customStyle="1">
    <w:name w:val="xl26"/>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798" w:customStyle="1">
    <w:name w:val="xl32"/>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799" w:customStyle="1">
    <w:name w:val="Char Char Char Char Char Char Char Char Char Char"/>
    <w:basedOn w:val="1183"/>
    <w:uiPriority w:val="0"/>
    <w:qFormat/>
    <w:pPr>
      <w:ind w:left="432" w:hanging="432"/>
      <w:tabs>
        <w:tab w:val="left" w:pos="898" w:leader="none"/>
      </w:tabs>
    </w:pPr>
    <w:rPr>
      <w:rFonts w:ascii="Times New Roman" w:hAnsi="Times New Roman" w:eastAsia="宋体"/>
      <w:sz w:val="24"/>
      <w:szCs w:val="24"/>
    </w:rPr>
  </w:style>
  <w:style w:type="paragraph" w:styleId="1800" w:customStyle="1">
    <w:name w:val="xl41"/>
    <w:basedOn w:val="11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801" w:customStyle="1">
    <w:name w:val="xl29"/>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802" w:customStyle="1">
    <w:name w:val="菲页1"/>
    <w:basedOn w:val="1399"/>
    <w:uiPriority w:val="0"/>
    <w:qFormat/>
    <w:pPr>
      <w:jc w:val="center"/>
      <w:spacing w:before="312" w:after="312" w:line="360" w:lineRule="auto"/>
      <w:widowControl/>
    </w:pPr>
    <w:rPr>
      <w:rFonts w:ascii="黑体" w:hAnsi="宋体"/>
      <w:b w:val="0"/>
      <w:color w:val="000000"/>
      <w:sz w:val="52"/>
      <w:szCs w:val="20"/>
    </w:rPr>
  </w:style>
  <w:style w:type="paragraph" w:styleId="1803" w:customStyle="1">
    <w:name w:val="xl33"/>
    <w:basedOn w:val="11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804" w:customStyle="1">
    <w:name w:val="font8"/>
    <w:basedOn w:val="1183"/>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805" w:customStyle="1">
    <w:name w:val="xl93"/>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806" w:customStyle="1">
    <w:name w:val="Char Char Char Char Char Char Char Char Char Char1"/>
    <w:basedOn w:val="1183"/>
    <w:uiPriority w:val="0"/>
    <w:qFormat/>
    <w:pPr>
      <w:ind w:left="315" w:hanging="315"/>
      <w:tabs>
        <w:tab w:val="left" w:pos="315" w:leader="none"/>
      </w:tabs>
    </w:pPr>
    <w:rPr>
      <w:rFonts w:ascii="Times New Roman" w:hAnsi="Times New Roman" w:eastAsia="宋体"/>
      <w:sz w:val="24"/>
      <w:szCs w:val="24"/>
    </w:rPr>
  </w:style>
  <w:style w:type="paragraph" w:styleId="1807" w:customStyle="1">
    <w:name w:val="xl22"/>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808" w:customStyle="1">
    <w:name w:val="默认段落字体 Para Char Char Char"/>
    <w:basedOn w:val="1183"/>
    <w:uiPriority w:val="0"/>
    <w:qFormat/>
    <w:rPr>
      <w:rFonts w:ascii="Times New Roman" w:hAnsi="Times New Roman" w:eastAsia="宋体"/>
      <w:szCs w:val="24"/>
    </w:rPr>
  </w:style>
  <w:style w:type="paragraph" w:styleId="1809"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10" w:customStyle="1">
    <w:name w:val="文档正文"/>
    <w:basedOn w:val="1183"/>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811" w:customStyle="1">
    <w:name w:val="font5"/>
    <w:basedOn w:val="1183"/>
    <w:uiPriority w:val="0"/>
    <w:qFormat/>
    <w:pPr>
      <w:jc w:val="left"/>
      <w:spacing w:before="100" w:beforeAutospacing="1" w:after="100" w:afterAutospacing="1"/>
      <w:widowControl/>
    </w:pPr>
    <w:rPr>
      <w:rFonts w:ascii="宋体" w:hAnsi="宋体" w:eastAsia="宋体" w:cs="宋体"/>
      <w:sz w:val="18"/>
      <w:szCs w:val="18"/>
    </w:rPr>
  </w:style>
  <w:style w:type="paragraph" w:styleId="1812" w:customStyle="1">
    <w:name w:val="xl44"/>
    <w:basedOn w:val="1183"/>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813" w:customStyle="1">
    <w:name w:val="正文缩进_0"/>
    <w:basedOn w:val="1713"/>
    <w:uiPriority w:val="0"/>
    <w:qFormat/>
    <w:pPr>
      <w:ind w:firstLine="420"/>
      <w:jc w:val="both"/>
      <w:widowControl w:val="off"/>
    </w:pPr>
    <w:rPr>
      <w:u w:val="single"/>
    </w:rPr>
  </w:style>
  <w:style w:type="paragraph" w:styleId="1814" w:customStyle="1">
    <w:name w:val="xl364"/>
    <w:basedOn w:val="11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815" w:customStyle="1">
    <w:name w:val="Preformatted"/>
    <w:basedOn w:val="118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816" w:customStyle="1">
    <w:name w:val="xl112"/>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817" w:customStyle="1">
    <w:name w:val="H2"/>
    <w:basedOn w:val="1183"/>
    <w:next w:val="1183"/>
    <w:uiPriority w:val="0"/>
    <w:qFormat/>
    <w:pPr>
      <w:jc w:val="left"/>
      <w:keepNext/>
      <w:spacing w:before="100" w:after="100"/>
      <w:outlineLvl w:val="2"/>
    </w:pPr>
    <w:rPr>
      <w:rFonts w:ascii="Times New Roman" w:hAnsi="Times New Roman" w:eastAsia="宋体"/>
      <w:b/>
      <w:sz w:val="36"/>
      <w:szCs w:val="20"/>
    </w:rPr>
  </w:style>
  <w:style w:type="paragraph" w:styleId="1818" w:customStyle="1">
    <w:name w:val="xl74"/>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819" w:customStyle="1">
    <w:name w:val="xl86"/>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820" w:customStyle="1">
    <w:name w:val="xl72"/>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821" w:customStyle="1">
    <w:name w:val="xl24"/>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822" w:customStyle="1">
    <w:name w:val="xl75"/>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23" w:customStyle="1">
    <w:name w:val="xl362"/>
    <w:basedOn w:val="11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824" w:customStyle="1">
    <w:name w:val="xl30"/>
    <w:basedOn w:val="11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825" w:customStyle="1">
    <w:name w:val="xl34"/>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826" w:customStyle="1">
    <w:name w:val="xl99"/>
    <w:basedOn w:val="118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827" w:customStyle="1">
    <w:name w:val="xl363"/>
    <w:basedOn w:val="11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828" w:customStyle="1">
    <w:name w:val="Char1"/>
    <w:basedOn w:val="1183"/>
    <w:uiPriority w:val="0"/>
    <w:qFormat/>
    <w:pPr>
      <w:jc w:val="left"/>
      <w:spacing w:after="160" w:line="240" w:lineRule="exact"/>
      <w:widowControl/>
    </w:pPr>
    <w:rPr>
      <w:rFonts w:ascii="Times New Roman" w:hAnsi="Times New Roman" w:eastAsia="宋体"/>
      <w:szCs w:val="24"/>
    </w:rPr>
  </w:style>
  <w:style w:type="paragraph" w:styleId="1829" w:customStyle="1">
    <w:name w:val="xl28"/>
    <w:basedOn w:val="11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830" w:customStyle="1">
    <w:name w:val="TOC 标题11"/>
    <w:basedOn w:val="1183"/>
    <w:next w:val="1183"/>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831" w:customStyle="1">
    <w:name w:val="标题 H3"/>
    <w:basedOn w:val="1183"/>
    <w:next w:val="1183"/>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832" w:customStyle="1">
    <w:name w:val="标题 H2"/>
    <w:basedOn w:val="1183"/>
    <w:next w:val="1183"/>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833" w:customStyle="1">
    <w:name w:val="_Style 16"/>
    <w:basedOn w:val="1183"/>
    <w:next w:val="1485"/>
    <w:uiPriority w:val="99"/>
    <w:qFormat/>
    <w:pPr>
      <w:ind w:firstLine="420"/>
      <w:spacing w:line="360" w:lineRule="auto"/>
    </w:pPr>
    <w:rPr>
      <w:rFonts w:ascii="Calibri" w:hAnsi="Calibri" w:eastAsia="宋体"/>
      <w:sz w:val="24"/>
    </w:rPr>
  </w:style>
  <w:style w:type="table" w:styleId="1834" w:customStyle="1">
    <w:name w:val="网格型1"/>
    <w:basedOn w:val="1408"/>
    <w:uiPriority w:val="39"/>
    <w:qFormat/>
    <w:tblPr/>
  </w:style>
  <w:style w:type="table" w:styleId="1835" w:customStyle="1">
    <w:name w:val="自定网格1"/>
    <w:basedOn w:val="1408"/>
    <w:uiPriority w:val="39"/>
    <w:qFormat/>
    <w:pPr>
      <w:jc w:val="both"/>
      <w:widowControl w:val="off"/>
    </w:pPr>
    <w:tblPr/>
  </w:style>
  <w:style w:type="table" w:styleId="1836" w:customStyle="1">
    <w:name w:val="网格型2"/>
    <w:basedOn w:val="1408"/>
    <w:uiPriority w:val="39"/>
    <w:qFormat/>
    <w:pPr>
      <w:jc w:val="both"/>
      <w:widowControl w:val="off"/>
    </w:pPr>
    <w:tblPr/>
  </w:style>
  <w:style w:type="character" w:styleId="1837" w:customStyle="1">
    <w:name w:val="NormalCharacter1"/>
    <w:uiPriority w:val="0"/>
    <w:qFormat/>
  </w:style>
  <w:style w:type="character" w:styleId="1838" w:customStyle="1">
    <w:name w:val="列出段落 Char"/>
    <w:uiPriority w:val="34"/>
    <w:qFormat/>
    <w:rPr>
      <w:sz w:val="21"/>
      <w:szCs w:val="24"/>
    </w:rPr>
  </w:style>
  <w:style w:type="table" w:styleId="1839" w:customStyle="1">
    <w:name w:val="网格型3"/>
    <w:basedOn w:val="1408"/>
    <w:uiPriority w:val="39"/>
    <w:qFormat/>
    <w:rPr>
      <w:rFonts w:ascii="Calibri" w:hAnsi="Calibri"/>
    </w:rPr>
    <w:tblPr/>
  </w:style>
  <w:style w:type="table" w:styleId="1840" w:customStyle="1">
    <w:name w:val="网格型4"/>
    <w:basedOn w:val="1408"/>
    <w:uiPriority w:val="39"/>
    <w:qFormat/>
    <w:rPr>
      <w:rFonts w:ascii="Calibri" w:hAnsi="Calibri"/>
    </w:rPr>
    <w:tblPr/>
  </w:style>
  <w:style w:type="table" w:styleId="1841" w:customStyle="1">
    <w:name w:val="网格型5"/>
    <w:basedOn w:val="1408"/>
    <w:uiPriority w:val="39"/>
    <w:qFormat/>
    <w:rPr>
      <w:rFonts w:ascii="Calibri" w:hAnsi="Calibri"/>
    </w:rPr>
    <w:tblPr/>
  </w:style>
  <w:style w:type="table" w:styleId="1842" w:customStyle="1">
    <w:name w:val="网格型6"/>
    <w:basedOn w:val="1408"/>
    <w:uiPriority w:val="39"/>
    <w:qFormat/>
    <w:rPr>
      <w:rFonts w:ascii="Calibri" w:hAnsi="Calibri"/>
    </w:rPr>
    <w:tblPr/>
  </w:style>
  <w:style w:type="paragraph" w:styleId="1843" w:customStyle="1">
    <w:name w:val="引文目录1"/>
    <w:basedOn w:val="1183"/>
    <w:next w:val="1183"/>
    <w:uiPriority w:val="0"/>
    <w:qFormat/>
    <w:pPr>
      <w:ind w:left="420"/>
    </w:pPr>
  </w:style>
  <w:style w:type="paragraph" w:styleId="1844" w:customStyle="1">
    <w:name w:val="Table Text"/>
    <w:basedOn w:val="1183"/>
    <w:uiPriority w:val="0"/>
    <w:semiHidden/>
    <w:qFormat/>
    <w:rPr>
      <w:rFonts w:ascii="宋体" w:hAnsi="宋体" w:eastAsia="宋体" w:cs="宋体"/>
      <w:sz w:val="19"/>
      <w:szCs w:val="19"/>
      <w:lang w:eastAsia="en-US"/>
    </w:rPr>
  </w:style>
  <w:style w:type="table" w:styleId="1845" w:customStyle="1">
    <w:name w:val="Table Normal"/>
    <w:uiPriority w:val="0"/>
    <w:semiHidden/>
    <w:unhideWhenUsed/>
    <w:qFormat/>
    <w:tblPr>
      <w:tblCellMar>
        <w:left w:w="0" w:type="dxa"/>
        <w:top w:w="0" w:type="dxa"/>
        <w:right w:w="0" w:type="dxa"/>
        <w:bottom w:w="0" w:type="dxa"/>
      </w:tblCellMar>
    </w:tblPr>
  </w:style>
  <w:style w:type="character" w:styleId="1846" w:customStyle="1">
    <w:name w:val="font112"/>
    <w:basedOn w:val="1193"/>
    <w:uiPriority w:val="0"/>
    <w:qFormat/>
    <w:rPr>
      <w:rFonts w:hint="eastAsia" w:ascii="宋体" w:hAnsi="宋体" w:eastAsia="宋体" w:cs="宋体"/>
      <w:color w:val="000000"/>
      <w:sz w:val="20"/>
      <w:szCs w:val="20"/>
      <w:u w:val="none"/>
    </w:rPr>
  </w:style>
  <w:style w:type="paragraph" w:styleId="1847" w:customStyle="1">
    <w:name w:val="索引 411"/>
    <w:basedOn w:val="1183"/>
    <w:next w:val="1183"/>
    <w:uiPriority w:val="99"/>
    <w:qFormat/>
    <w:pPr>
      <w:ind w:left="600"/>
    </w:pPr>
    <w:rPr>
      <w:szCs w:val="24"/>
    </w:rPr>
  </w:style>
  <w:style w:type="paragraph" w:styleId="1848" w:customStyle="1">
    <w:name w:val="正文文本11"/>
    <w:basedOn w:val="1183"/>
    <w:next w:val="1849"/>
    <w:uiPriority w:val="0"/>
    <w:semiHidden/>
    <w:qFormat/>
    <w:rPr>
      <w:rFonts w:ascii="宋体" w:hAnsi="宋体" w:eastAsia="宋体" w:cs="宋体"/>
      <w:sz w:val="24"/>
      <w:szCs w:val="24"/>
      <w:lang w:eastAsia="en-US"/>
    </w:rPr>
  </w:style>
  <w:style w:type="paragraph" w:styleId="1849" w:customStyle="1">
    <w:name w:val="副标题11"/>
    <w:basedOn w:val="1183"/>
    <w:next w:val="1183"/>
    <w:uiPriority w:val="11"/>
    <w:qFormat/>
    <w:pPr>
      <w:spacing w:before="200" w:after="200"/>
    </w:pPr>
    <w:rPr>
      <w:sz w:val="24"/>
      <w:szCs w:val="24"/>
    </w:rPr>
  </w:style>
  <w:style w:type="paragraph" w:styleId="1850" w:customStyle="1">
    <w:name w:val="页眉11"/>
    <w:basedOn w:val="1183"/>
    <w:uiPriority w:val="99"/>
    <w:unhideWhenUsed/>
    <w:qFormat/>
    <w:pPr>
      <w:tabs>
        <w:tab w:val="center" w:pos="7143" w:leader="none"/>
        <w:tab w:val="right" w:pos="14287" w:leader="none"/>
      </w:tabs>
    </w:pPr>
  </w:style>
  <w:style w:type="character" w:styleId="1851" w:customStyle="1">
    <w:name w:val="font281"/>
    <w:basedOn w:val="1407"/>
    <w:link w:val="1183"/>
    <w:uiPriority w:val="0"/>
    <w:qFormat/>
    <w:rPr>
      <w:rFonts w:hint="eastAsia" w:ascii="宋体" w:hAnsi="宋体" w:eastAsia="宋体" w:cs="宋体"/>
      <w:b/>
      <w:bCs/>
      <w:color w:val="000000"/>
      <w:sz w:val="18"/>
      <w:szCs w:val="18"/>
      <w:u w:val="none"/>
    </w:rPr>
  </w:style>
  <w:style w:type="numbering" w:styleId="18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image" Target="media/image1.png"/><Relationship Id="rId31" Type="http://schemas.openxmlformats.org/officeDocument/2006/relationships/image" Target="media/image2.png"/><Relationship Id="rId32" Type="http://schemas.openxmlformats.org/officeDocument/2006/relationships/image" Target="media/image3.png"/><Relationship Id="rId33" Type="http://schemas.openxmlformats.org/officeDocument/2006/relationships/image" Target="media/image4.png"/><Relationship Id="rId34" Type="http://schemas.openxmlformats.org/officeDocument/2006/relationships/image" Target="media/image5.png"/><Relationship Id="rId35" Type="http://schemas.openxmlformats.org/officeDocument/2006/relationships/image" Target="media/image6.png"/><Relationship Id="rId36" Type="http://schemas.openxmlformats.org/officeDocument/2006/relationships/image" Target="media/image7.png"/><Relationship Id="rId37"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png"/><Relationship Id="rId42"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png"/><Relationship Id="rId45" Type="http://schemas.openxmlformats.org/officeDocument/2006/relationships/image" Target="media/image16.png"/><Relationship Id="rId46"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5-12-23T16:08:22"/>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4093 628819 767</inkml:trace>
</inkml:ink>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000053-0000-0000-702A-4C90FC7F000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25</cp:revision>
  <dcterms:created xsi:type="dcterms:W3CDTF">2024-05-21T08:20:00Z</dcterms:created>
  <dcterms:modified xsi:type="dcterms:W3CDTF">2025-12-24T06:43:46Z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33B8259B40D04D3CA5E4EC6DA692722F</vt:lpwstr>
  </property>
  <property fmtid="{D5CDD505-2E9C-101B-9397-08002B2CF9AE}" pid="4" name="KSOTemplateDocerSaveRecord">
    <vt:lpwstr>eyJoZGlkIjoiNzliOGZlNzA3NGYzYzJmMTQwODAxNGRkNTk4NzkxNGUiLCJ1c2VySWQiOiIxMzY2NzkwNjUwIn0=</vt:lpwstr>
  </property>
</Properties>
</file>